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3843DF" w14:textId="3A342D68" w:rsidR="008A6077" w:rsidRDefault="008A6077" w:rsidP="008A6077"/>
    <w:p w14:paraId="02B0F826" w14:textId="77777777" w:rsidR="00E12855" w:rsidRDefault="00E12855" w:rsidP="008A6077"/>
    <w:p w14:paraId="6875C344" w14:textId="43AACD0B" w:rsidR="00C94AA5" w:rsidRDefault="009F25F6" w:rsidP="00B120F3">
      <w:pPr>
        <w:pStyle w:val="Title"/>
      </w:pPr>
      <w:r w:rsidRPr="009F25F6">
        <w:t>Coupling Remote Sensing with a Process Model for the Simulation of Rangeland Carbon Dynamics</w:t>
      </w:r>
    </w:p>
    <w:p w14:paraId="5AF89DAA" w14:textId="77777777" w:rsidR="009F25F6" w:rsidRDefault="009F25F6" w:rsidP="009F25F6"/>
    <w:p w14:paraId="0229B032" w14:textId="77777777" w:rsidR="00E12855" w:rsidRPr="009F25F6" w:rsidRDefault="00E12855" w:rsidP="009F25F6"/>
    <w:p w14:paraId="32E6B0CF" w14:textId="434CAF2A" w:rsidR="00C94AA5" w:rsidRPr="00F97AF7" w:rsidRDefault="009F25F6" w:rsidP="00356C61">
      <w:pPr>
        <w:pStyle w:val="Authors"/>
        <w:jc w:val="both"/>
      </w:pPr>
      <w:r w:rsidRPr="00F97AF7">
        <w:t>Yushu Xia</w:t>
      </w:r>
      <w:r w:rsidRPr="00F97AF7">
        <w:rPr>
          <w:vertAlign w:val="superscript"/>
        </w:rPr>
        <w:t>1,2*</w:t>
      </w:r>
      <w:r w:rsidRPr="00F97AF7">
        <w:t>, Jonathan Sanderman</w:t>
      </w:r>
      <w:r w:rsidR="009773DF" w:rsidRPr="00F97AF7">
        <w:rPr>
          <w:vertAlign w:val="superscript"/>
        </w:rPr>
        <w:t>1</w:t>
      </w:r>
      <w:r w:rsidRPr="00F97AF7">
        <w:t>, Jennifer D. Watts</w:t>
      </w:r>
      <w:r w:rsidR="009773DF" w:rsidRPr="00F97AF7">
        <w:rPr>
          <w:vertAlign w:val="superscript"/>
        </w:rPr>
        <w:t>1</w:t>
      </w:r>
      <w:r w:rsidRPr="00F97AF7">
        <w:rPr>
          <w:vertAlign w:val="superscript"/>
        </w:rPr>
        <w:t>,3</w:t>
      </w:r>
      <w:r w:rsidRPr="00F97AF7">
        <w:t>, Megan B. Machmuller</w:t>
      </w:r>
      <w:r w:rsidRPr="00F97AF7">
        <w:rPr>
          <w:vertAlign w:val="superscript"/>
        </w:rPr>
        <w:t>4</w:t>
      </w:r>
      <w:r w:rsidRPr="00F97AF7">
        <w:t xml:space="preserve">, Andrew </w:t>
      </w:r>
      <w:r w:rsidR="00166059">
        <w:t xml:space="preserve">L. </w:t>
      </w:r>
      <w:r w:rsidRPr="00F97AF7">
        <w:t>Mullen</w:t>
      </w:r>
      <w:r w:rsidR="009773DF" w:rsidRPr="00F97AF7">
        <w:rPr>
          <w:vertAlign w:val="superscript"/>
        </w:rPr>
        <w:t>1</w:t>
      </w:r>
      <w:r w:rsidRPr="00F97AF7">
        <w:t>, Charlotte Rivard</w:t>
      </w:r>
      <w:r w:rsidR="009773DF" w:rsidRPr="00F97AF7">
        <w:rPr>
          <w:vertAlign w:val="superscript"/>
        </w:rPr>
        <w:t>1</w:t>
      </w:r>
      <w:r w:rsidRPr="00F97AF7">
        <w:rPr>
          <w:vertAlign w:val="superscript"/>
        </w:rPr>
        <w:t>,5</w:t>
      </w:r>
      <w:r w:rsidR="0014681F" w:rsidRPr="00F97AF7">
        <w:rPr>
          <w:vertAlign w:val="superscript"/>
        </w:rPr>
        <w:t>†</w:t>
      </w:r>
      <w:r w:rsidRPr="00F97AF7">
        <w:t>, Arthur Endsley</w:t>
      </w:r>
      <w:r w:rsidRPr="00F97AF7">
        <w:rPr>
          <w:vertAlign w:val="superscript"/>
        </w:rPr>
        <w:t>6</w:t>
      </w:r>
      <w:r w:rsidRPr="00F97AF7">
        <w:t>, Haydee Hernandez</w:t>
      </w:r>
      <w:r w:rsidR="009773DF" w:rsidRPr="00F97AF7">
        <w:rPr>
          <w:vertAlign w:val="superscript"/>
        </w:rPr>
        <w:t>1</w:t>
      </w:r>
      <w:r w:rsidRPr="00F97AF7">
        <w:rPr>
          <w:vertAlign w:val="superscript"/>
        </w:rPr>
        <w:t>,7</w:t>
      </w:r>
      <w:r w:rsidR="0014681F" w:rsidRPr="00F97AF7">
        <w:rPr>
          <w:vertAlign w:val="superscript"/>
        </w:rPr>
        <w:t>†</w:t>
      </w:r>
      <w:r w:rsidRPr="00F97AF7">
        <w:t>, John Kimball</w:t>
      </w:r>
      <w:r w:rsidRPr="00F97AF7">
        <w:rPr>
          <w:vertAlign w:val="superscript"/>
        </w:rPr>
        <w:t>6</w:t>
      </w:r>
      <w:r w:rsidRPr="00F97AF7">
        <w:t xml:space="preserve">, Stephanie </w:t>
      </w:r>
      <w:r w:rsidR="00166059">
        <w:t xml:space="preserve">A. </w:t>
      </w:r>
      <w:r w:rsidRPr="00F97AF7">
        <w:t>Ewing</w:t>
      </w:r>
      <w:r w:rsidRPr="00F97AF7">
        <w:rPr>
          <w:vertAlign w:val="superscript"/>
        </w:rPr>
        <w:t>3</w:t>
      </w:r>
      <w:r w:rsidRPr="00F97AF7">
        <w:t>, Marcy Litvak</w:t>
      </w:r>
      <w:r w:rsidRPr="00F97AF7">
        <w:rPr>
          <w:vertAlign w:val="superscript"/>
        </w:rPr>
        <w:t>8</w:t>
      </w:r>
      <w:r w:rsidRPr="00F97AF7">
        <w:t>, Tomer Duman</w:t>
      </w:r>
      <w:r w:rsidRPr="00F97AF7">
        <w:rPr>
          <w:vertAlign w:val="superscript"/>
        </w:rPr>
        <w:t>8</w:t>
      </w:r>
      <w:r w:rsidRPr="00F97AF7">
        <w:t>, Praveena Krishnan</w:t>
      </w:r>
      <w:r w:rsidRPr="00F97AF7">
        <w:rPr>
          <w:vertAlign w:val="superscript"/>
        </w:rPr>
        <w:t>9</w:t>
      </w:r>
      <w:r w:rsidRPr="00F97AF7">
        <w:t>, Tilden Meyers</w:t>
      </w:r>
      <w:r w:rsidRPr="00F97AF7">
        <w:rPr>
          <w:vertAlign w:val="superscript"/>
        </w:rPr>
        <w:t>9</w:t>
      </w:r>
      <w:r w:rsidRPr="00F97AF7">
        <w:t xml:space="preserve">, Nathaniel </w:t>
      </w:r>
      <w:r w:rsidR="00166059">
        <w:t xml:space="preserve">A. </w:t>
      </w:r>
      <w:r w:rsidRPr="00F97AF7">
        <w:t>Brunsell</w:t>
      </w:r>
      <w:r w:rsidRPr="00F97AF7">
        <w:rPr>
          <w:vertAlign w:val="superscript"/>
        </w:rPr>
        <w:t>10</w:t>
      </w:r>
      <w:r w:rsidRPr="00F97AF7">
        <w:t>, Binayak Mohanty</w:t>
      </w:r>
      <w:r w:rsidRPr="00F97AF7">
        <w:rPr>
          <w:vertAlign w:val="superscript"/>
        </w:rPr>
        <w:t>11</w:t>
      </w:r>
      <w:r w:rsidRPr="00F97AF7">
        <w:t>, Heping Liu</w:t>
      </w:r>
      <w:r w:rsidRPr="00F97AF7">
        <w:rPr>
          <w:vertAlign w:val="superscript"/>
        </w:rPr>
        <w:t>12</w:t>
      </w:r>
      <w:r w:rsidRPr="00F97AF7">
        <w:t>, Zhongming Gao</w:t>
      </w:r>
      <w:r w:rsidR="00356C61" w:rsidRPr="00F97AF7">
        <w:rPr>
          <w:vertAlign w:val="superscript"/>
        </w:rPr>
        <w:t>12,13</w:t>
      </w:r>
      <w:r w:rsidR="0014681F" w:rsidRPr="00F97AF7">
        <w:rPr>
          <w:vertAlign w:val="superscript"/>
        </w:rPr>
        <w:t>†</w:t>
      </w:r>
      <w:r w:rsidRPr="00F97AF7">
        <w:t>, Jiquan Chen</w:t>
      </w:r>
      <w:r w:rsidR="00356C61" w:rsidRPr="00F97AF7">
        <w:rPr>
          <w:vertAlign w:val="superscript"/>
        </w:rPr>
        <w:t>14</w:t>
      </w:r>
      <w:r w:rsidRPr="00F97AF7">
        <w:t>, Michael Abraha</w:t>
      </w:r>
      <w:r w:rsidR="00356C61" w:rsidRPr="00F97AF7">
        <w:rPr>
          <w:vertAlign w:val="superscript"/>
        </w:rPr>
        <w:t>14</w:t>
      </w:r>
      <w:r w:rsidRPr="00F97AF7">
        <w:t>, Russell L. Scott</w:t>
      </w:r>
      <w:r w:rsidR="00356C61" w:rsidRPr="00F97AF7">
        <w:rPr>
          <w:vertAlign w:val="superscript"/>
        </w:rPr>
        <w:t>15</w:t>
      </w:r>
      <w:r w:rsidRPr="00F97AF7">
        <w:t>, Gerald N. Flerchinger</w:t>
      </w:r>
      <w:r w:rsidR="00356C61" w:rsidRPr="00F97AF7">
        <w:rPr>
          <w:vertAlign w:val="superscript"/>
        </w:rPr>
        <w:t>16</w:t>
      </w:r>
      <w:r w:rsidRPr="00F97AF7">
        <w:t>, Patrick E. Clark</w:t>
      </w:r>
      <w:r w:rsidR="00356C61" w:rsidRPr="00F97AF7">
        <w:rPr>
          <w:vertAlign w:val="superscript"/>
        </w:rPr>
        <w:t>16</w:t>
      </w:r>
      <w:r w:rsidRPr="00F97AF7">
        <w:t xml:space="preserve">, Paul </w:t>
      </w:r>
      <w:r w:rsidR="00166059">
        <w:t xml:space="preserve">C. </w:t>
      </w:r>
      <w:r w:rsidRPr="00F97AF7">
        <w:t>Stoy</w:t>
      </w:r>
      <w:r w:rsidR="00356C61" w:rsidRPr="00F97AF7">
        <w:rPr>
          <w:vertAlign w:val="superscript"/>
        </w:rPr>
        <w:t>17</w:t>
      </w:r>
      <w:r w:rsidRPr="00F97AF7">
        <w:t>, Anam M. Khan</w:t>
      </w:r>
      <w:r w:rsidR="00356C61" w:rsidRPr="00F97AF7">
        <w:rPr>
          <w:vertAlign w:val="superscript"/>
        </w:rPr>
        <w:t>18</w:t>
      </w:r>
      <w:r w:rsidRPr="00F97AF7">
        <w:t>, E.N. Jack Brookshire</w:t>
      </w:r>
      <w:r w:rsidR="00356C61" w:rsidRPr="00F97AF7">
        <w:rPr>
          <w:vertAlign w:val="superscript"/>
        </w:rPr>
        <w:t>3</w:t>
      </w:r>
      <w:r w:rsidRPr="00F97AF7">
        <w:t>, Quan Zhang</w:t>
      </w:r>
      <w:r w:rsidR="00356C61" w:rsidRPr="00F97AF7">
        <w:rPr>
          <w:vertAlign w:val="superscript"/>
        </w:rPr>
        <w:t>19,20</w:t>
      </w:r>
      <w:r w:rsidR="0014681F" w:rsidRPr="00F97AF7">
        <w:rPr>
          <w:vertAlign w:val="superscript"/>
        </w:rPr>
        <w:t>†</w:t>
      </w:r>
      <w:r w:rsidRPr="00F97AF7">
        <w:t xml:space="preserve">, David </w:t>
      </w:r>
      <w:r w:rsidR="00166059">
        <w:t xml:space="preserve">R. </w:t>
      </w:r>
      <w:r w:rsidRPr="00F97AF7">
        <w:t>Cook</w:t>
      </w:r>
      <w:r w:rsidR="00356C61" w:rsidRPr="00F97AF7">
        <w:rPr>
          <w:vertAlign w:val="superscript"/>
        </w:rPr>
        <w:t>21</w:t>
      </w:r>
      <w:r w:rsidRPr="00F97AF7">
        <w:t>, Thomas Thienelt</w:t>
      </w:r>
      <w:r w:rsidR="00356C61" w:rsidRPr="00F97AF7">
        <w:rPr>
          <w:vertAlign w:val="superscript"/>
        </w:rPr>
        <w:t>22</w:t>
      </w:r>
      <w:r w:rsidRPr="00F97AF7">
        <w:t>, Bhaskar Mitra</w:t>
      </w:r>
      <w:r w:rsidR="00356C61" w:rsidRPr="00F97AF7">
        <w:rPr>
          <w:vertAlign w:val="superscript"/>
        </w:rPr>
        <w:t>23</w:t>
      </w:r>
      <w:r w:rsidRPr="00F97AF7">
        <w:t>, Marguerite Mauritz-Tozer</w:t>
      </w:r>
      <w:r w:rsidR="00356C61" w:rsidRPr="00F97AF7">
        <w:rPr>
          <w:vertAlign w:val="superscript"/>
        </w:rPr>
        <w:t>24</w:t>
      </w:r>
      <w:r w:rsidRPr="00F97AF7">
        <w:t xml:space="preserve">, </w:t>
      </w:r>
      <w:r w:rsidR="00E12855" w:rsidRPr="00E12855">
        <w:t>Craig</w:t>
      </w:r>
      <w:r w:rsidR="00E12855">
        <w:t xml:space="preserve"> E.</w:t>
      </w:r>
      <w:r w:rsidR="00E12855" w:rsidRPr="00E12855">
        <w:t xml:space="preserve"> Tweedie</w:t>
      </w:r>
      <w:r w:rsidR="00E12855" w:rsidRPr="00F97AF7">
        <w:rPr>
          <w:vertAlign w:val="superscript"/>
        </w:rPr>
        <w:t>24</w:t>
      </w:r>
      <w:r w:rsidR="00E12855">
        <w:t>,</w:t>
      </w:r>
      <w:r w:rsidR="00E12855" w:rsidRPr="00E12855">
        <w:t xml:space="preserve"> </w:t>
      </w:r>
      <w:r w:rsidRPr="00F97AF7">
        <w:t xml:space="preserve">Margaret </w:t>
      </w:r>
      <w:r w:rsidR="00166059">
        <w:t xml:space="preserve">S. </w:t>
      </w:r>
      <w:r w:rsidRPr="00F97AF7">
        <w:t>Torn</w:t>
      </w:r>
      <w:r w:rsidR="00356C61" w:rsidRPr="00F97AF7">
        <w:rPr>
          <w:vertAlign w:val="superscript"/>
        </w:rPr>
        <w:t>25</w:t>
      </w:r>
      <w:r w:rsidRPr="00F97AF7">
        <w:t>, and Dave Billesbach</w:t>
      </w:r>
      <w:r w:rsidR="00356C61" w:rsidRPr="00F97AF7">
        <w:rPr>
          <w:vertAlign w:val="superscript"/>
        </w:rPr>
        <w:t>26</w:t>
      </w:r>
    </w:p>
    <w:p w14:paraId="2039888D" w14:textId="54DC1FB1" w:rsidR="009773DF" w:rsidRDefault="009773DF" w:rsidP="009773DF">
      <w:pPr>
        <w:pStyle w:val="Normal1"/>
        <w:spacing w:before="120" w:line="240" w:lineRule="auto"/>
        <w:contextualSpacing w:val="0"/>
        <w:rPr>
          <w:rFonts w:ascii="Times New Roman" w:hAnsi="Times New Roman" w:cs="Times New Roman"/>
          <w:sz w:val="24"/>
        </w:rPr>
      </w:pPr>
      <w:r>
        <w:rPr>
          <w:rFonts w:ascii="Times New Roman" w:hAnsi="Times New Roman" w:cs="Times New Roman"/>
          <w:sz w:val="24"/>
          <w:vertAlign w:val="superscript"/>
        </w:rPr>
        <w:t>1</w:t>
      </w:r>
      <w:r w:rsidR="00356C61" w:rsidRPr="00C1362F">
        <w:rPr>
          <w:rFonts w:ascii="Times New Roman" w:hAnsi="Times New Roman" w:cs="Times New Roman"/>
          <w:sz w:val="24"/>
        </w:rPr>
        <w:t xml:space="preserve"> Woodwell Climate Research Center, Falmouth, MA 02540, USA</w:t>
      </w:r>
      <w:r w:rsidR="00356C61">
        <w:rPr>
          <w:rFonts w:ascii="Times New Roman" w:hAnsi="Times New Roman" w:cs="Times New Roman"/>
          <w:sz w:val="24"/>
        </w:rPr>
        <w:t>.</w:t>
      </w:r>
    </w:p>
    <w:p w14:paraId="20F8A2B0" w14:textId="4EA6DEE6" w:rsidR="00356C61" w:rsidRPr="00C1362F" w:rsidRDefault="009773DF" w:rsidP="00356C61">
      <w:pPr>
        <w:pStyle w:val="Normal1"/>
        <w:spacing w:before="120" w:line="240" w:lineRule="auto"/>
        <w:contextualSpacing w:val="0"/>
        <w:rPr>
          <w:rFonts w:ascii="Times New Roman" w:hAnsi="Times New Roman" w:cs="Times New Roman"/>
          <w:sz w:val="24"/>
        </w:rPr>
      </w:pPr>
      <w:r>
        <w:rPr>
          <w:rFonts w:ascii="Times New Roman" w:hAnsi="Times New Roman" w:cs="Times New Roman"/>
          <w:sz w:val="24"/>
          <w:vertAlign w:val="superscript"/>
        </w:rPr>
        <w:t>2</w:t>
      </w:r>
      <w:r w:rsidRPr="00C1362F">
        <w:rPr>
          <w:rFonts w:ascii="Times New Roman" w:hAnsi="Times New Roman" w:cs="Times New Roman"/>
          <w:sz w:val="24"/>
        </w:rPr>
        <w:t xml:space="preserve"> Lamont Doherty Earth Observatory, Columbia University, Palisades, NY 10964, USA</w:t>
      </w:r>
      <w:r>
        <w:rPr>
          <w:rFonts w:ascii="Times New Roman" w:hAnsi="Times New Roman" w:cs="Times New Roman"/>
          <w:sz w:val="24"/>
        </w:rPr>
        <w:t>.</w:t>
      </w:r>
      <w:r w:rsidRPr="00C1362F">
        <w:rPr>
          <w:rFonts w:ascii="Times New Roman" w:hAnsi="Times New Roman" w:cs="Times New Roman"/>
          <w:sz w:val="24"/>
        </w:rPr>
        <w:t xml:space="preserve"> </w:t>
      </w:r>
    </w:p>
    <w:p w14:paraId="7D85EE29" w14:textId="2F250E13" w:rsidR="00356C61" w:rsidRPr="00C1362F" w:rsidRDefault="00356C61" w:rsidP="00356C61">
      <w:pPr>
        <w:pStyle w:val="Normal1"/>
        <w:spacing w:before="120" w:line="240" w:lineRule="auto"/>
        <w:contextualSpacing w:val="0"/>
        <w:rPr>
          <w:rFonts w:ascii="Times New Roman" w:hAnsi="Times New Roman" w:cs="Times New Roman"/>
          <w:sz w:val="24"/>
          <w:vertAlign w:val="superscript"/>
        </w:rPr>
      </w:pPr>
      <w:r>
        <w:rPr>
          <w:rFonts w:ascii="Times New Roman" w:hAnsi="Times New Roman" w:cs="Times New Roman"/>
          <w:sz w:val="24"/>
          <w:vertAlign w:val="superscript"/>
        </w:rPr>
        <w:t>3</w:t>
      </w:r>
      <w:r w:rsidRPr="00C1362F">
        <w:rPr>
          <w:rFonts w:ascii="Times New Roman" w:hAnsi="Times New Roman" w:cs="Times New Roman"/>
          <w:sz w:val="24"/>
        </w:rPr>
        <w:t xml:space="preserve"> Department of Land Resources and Environmental Sciences, Montana State University, Bozeman, MT 173120, USA</w:t>
      </w:r>
      <w:r>
        <w:rPr>
          <w:rFonts w:ascii="Times New Roman" w:hAnsi="Times New Roman" w:cs="Times New Roman"/>
          <w:sz w:val="24"/>
        </w:rPr>
        <w:t>.</w:t>
      </w:r>
      <w:r w:rsidRPr="00C1362F">
        <w:rPr>
          <w:rFonts w:ascii="Times New Roman" w:hAnsi="Times New Roman" w:cs="Times New Roman"/>
          <w:sz w:val="24"/>
          <w:vertAlign w:val="superscript"/>
        </w:rPr>
        <w:t xml:space="preserve"> </w:t>
      </w:r>
    </w:p>
    <w:p w14:paraId="160E8BE4" w14:textId="03DA0F77" w:rsidR="00356C61" w:rsidRPr="00C1362F" w:rsidRDefault="00356C61" w:rsidP="00356C61">
      <w:pPr>
        <w:pStyle w:val="Normal1"/>
        <w:spacing w:before="120" w:line="240" w:lineRule="auto"/>
        <w:contextualSpacing w:val="0"/>
        <w:rPr>
          <w:rFonts w:ascii="Times New Roman" w:hAnsi="Times New Roman" w:cs="Times New Roman"/>
          <w:sz w:val="24"/>
          <w:vertAlign w:val="superscript"/>
        </w:rPr>
      </w:pPr>
      <w:r>
        <w:rPr>
          <w:rFonts w:ascii="Times New Roman" w:hAnsi="Times New Roman" w:cs="Times New Roman"/>
          <w:sz w:val="24"/>
          <w:vertAlign w:val="superscript"/>
        </w:rPr>
        <w:t>4</w:t>
      </w:r>
      <w:r w:rsidRPr="00C1362F">
        <w:rPr>
          <w:rFonts w:ascii="Times New Roman" w:hAnsi="Times New Roman" w:cs="Times New Roman"/>
          <w:sz w:val="24"/>
        </w:rPr>
        <w:t xml:space="preserve"> Natural Resources and Ecology Laboratory, Colorado State University, Fort Collins, CO 80523, USA</w:t>
      </w:r>
      <w:r>
        <w:rPr>
          <w:rFonts w:ascii="Times New Roman" w:hAnsi="Times New Roman" w:cs="Times New Roman"/>
          <w:sz w:val="24"/>
        </w:rPr>
        <w:t>.</w:t>
      </w:r>
      <w:r w:rsidRPr="00C1362F">
        <w:rPr>
          <w:rFonts w:ascii="Times New Roman" w:hAnsi="Times New Roman" w:cs="Times New Roman"/>
          <w:sz w:val="24"/>
          <w:vertAlign w:val="superscript"/>
        </w:rPr>
        <w:t xml:space="preserve"> </w:t>
      </w:r>
    </w:p>
    <w:p w14:paraId="47195A02" w14:textId="0782D311" w:rsidR="00356C61" w:rsidRPr="00C1362F" w:rsidRDefault="00356C61" w:rsidP="00356C61">
      <w:pPr>
        <w:spacing w:before="120"/>
        <w:rPr>
          <w:sz w:val="24"/>
        </w:rPr>
      </w:pPr>
      <w:r>
        <w:rPr>
          <w:sz w:val="24"/>
          <w:vertAlign w:val="superscript"/>
        </w:rPr>
        <w:t>5</w:t>
      </w:r>
      <w:r w:rsidRPr="00C1362F">
        <w:rPr>
          <w:sz w:val="24"/>
        </w:rPr>
        <w:t xml:space="preserve"> Center for Sustainable Development, The Brookings Institution, Washington, D.C. 20036, USA</w:t>
      </w:r>
      <w:r>
        <w:rPr>
          <w:sz w:val="24"/>
        </w:rPr>
        <w:t>.</w:t>
      </w:r>
    </w:p>
    <w:p w14:paraId="329ED0B3" w14:textId="47E968D2" w:rsidR="00356C61" w:rsidRPr="00C1362F" w:rsidRDefault="00356C61" w:rsidP="00356C61">
      <w:pPr>
        <w:spacing w:before="120"/>
        <w:rPr>
          <w:sz w:val="24"/>
        </w:rPr>
      </w:pPr>
      <w:r>
        <w:rPr>
          <w:sz w:val="24"/>
          <w:vertAlign w:val="superscript"/>
        </w:rPr>
        <w:t>6</w:t>
      </w:r>
      <w:r w:rsidRPr="00C1362F">
        <w:rPr>
          <w:sz w:val="24"/>
        </w:rPr>
        <w:t xml:space="preserve"> WA Franke College of Forestry and Conservation, The University of Montana, Missoula, MT 59812, USA</w:t>
      </w:r>
      <w:r>
        <w:rPr>
          <w:sz w:val="24"/>
        </w:rPr>
        <w:t>.</w:t>
      </w:r>
    </w:p>
    <w:p w14:paraId="11B931EE" w14:textId="1725B9DA" w:rsidR="00356C61" w:rsidRPr="00C1362F" w:rsidRDefault="00356C61" w:rsidP="00356C61">
      <w:pPr>
        <w:spacing w:before="120"/>
        <w:rPr>
          <w:sz w:val="24"/>
        </w:rPr>
      </w:pPr>
      <w:r>
        <w:rPr>
          <w:sz w:val="24"/>
          <w:vertAlign w:val="superscript"/>
        </w:rPr>
        <w:t>7</w:t>
      </w:r>
      <w:r w:rsidRPr="00C1362F">
        <w:rPr>
          <w:sz w:val="24"/>
        </w:rPr>
        <w:t xml:space="preserve"> The Nature Conservancy</w:t>
      </w:r>
      <w:r>
        <w:rPr>
          <w:sz w:val="24"/>
        </w:rPr>
        <w:t>,</w:t>
      </w:r>
      <w:r w:rsidRPr="00C1362F">
        <w:rPr>
          <w:sz w:val="24"/>
        </w:rPr>
        <w:t xml:space="preserve"> Colorado</w:t>
      </w:r>
      <w:r>
        <w:rPr>
          <w:sz w:val="24"/>
        </w:rPr>
        <w:t xml:space="preserve"> Field Office</w:t>
      </w:r>
      <w:r w:rsidRPr="00C1362F">
        <w:rPr>
          <w:sz w:val="24"/>
        </w:rPr>
        <w:t>, Boulder, CO 80302, USA</w:t>
      </w:r>
      <w:r>
        <w:rPr>
          <w:sz w:val="24"/>
        </w:rPr>
        <w:t>.</w:t>
      </w:r>
      <w:r w:rsidRPr="00C1362F">
        <w:rPr>
          <w:sz w:val="24"/>
        </w:rPr>
        <w:t xml:space="preserve"> </w:t>
      </w:r>
    </w:p>
    <w:p w14:paraId="08BD3535" w14:textId="4782DB5F" w:rsidR="00356C61" w:rsidRDefault="00356C61" w:rsidP="00356C61">
      <w:pPr>
        <w:spacing w:before="120"/>
        <w:rPr>
          <w:sz w:val="24"/>
        </w:rPr>
      </w:pPr>
      <w:r>
        <w:rPr>
          <w:sz w:val="24"/>
          <w:vertAlign w:val="superscript"/>
        </w:rPr>
        <w:t>8</w:t>
      </w:r>
      <w:r w:rsidRPr="00D45257">
        <w:rPr>
          <w:sz w:val="24"/>
        </w:rPr>
        <w:t xml:space="preserve"> </w:t>
      </w:r>
      <w:r>
        <w:rPr>
          <w:sz w:val="24"/>
        </w:rPr>
        <w:t xml:space="preserve">Department of Biology, University of New Mexico, </w:t>
      </w:r>
      <w:r w:rsidRPr="0038322B">
        <w:rPr>
          <w:sz w:val="24"/>
        </w:rPr>
        <w:t>Albuquerque, NM</w:t>
      </w:r>
      <w:r>
        <w:rPr>
          <w:sz w:val="24"/>
        </w:rPr>
        <w:t xml:space="preserve"> 87131, USA.</w:t>
      </w:r>
    </w:p>
    <w:p w14:paraId="5DAED924" w14:textId="6BCADC47" w:rsidR="00356C61" w:rsidRDefault="00356C61" w:rsidP="00356C61">
      <w:pPr>
        <w:spacing w:before="120"/>
        <w:rPr>
          <w:sz w:val="24"/>
        </w:rPr>
      </w:pPr>
      <w:r>
        <w:rPr>
          <w:sz w:val="24"/>
          <w:vertAlign w:val="superscript"/>
        </w:rPr>
        <w:t>9</w:t>
      </w:r>
      <w:r w:rsidRPr="005B2F55">
        <w:rPr>
          <w:sz w:val="24"/>
        </w:rPr>
        <w:t xml:space="preserve"> Atmospheric Turbulence and Diffusion Division</w:t>
      </w:r>
      <w:r>
        <w:rPr>
          <w:sz w:val="24"/>
        </w:rPr>
        <w:t xml:space="preserve">, </w:t>
      </w:r>
      <w:r w:rsidRPr="002F5716">
        <w:rPr>
          <w:sz w:val="24"/>
        </w:rPr>
        <w:t>National Oceanic and Atmospheric Administration</w:t>
      </w:r>
      <w:r>
        <w:rPr>
          <w:sz w:val="24"/>
        </w:rPr>
        <w:t>, Oak Ridge, TN 37830, USA.</w:t>
      </w:r>
    </w:p>
    <w:p w14:paraId="17CD1E56" w14:textId="68459740" w:rsidR="00356C61" w:rsidRDefault="00356C61" w:rsidP="00356C61">
      <w:pPr>
        <w:spacing w:before="120"/>
        <w:rPr>
          <w:sz w:val="24"/>
        </w:rPr>
      </w:pPr>
      <w:r>
        <w:rPr>
          <w:sz w:val="24"/>
          <w:vertAlign w:val="superscript"/>
        </w:rPr>
        <w:t>10</w:t>
      </w:r>
      <w:r>
        <w:rPr>
          <w:sz w:val="24"/>
        </w:rPr>
        <w:t xml:space="preserve"> </w:t>
      </w:r>
      <w:r w:rsidRPr="002F5716">
        <w:rPr>
          <w:sz w:val="24"/>
        </w:rPr>
        <w:t>Dep</w:t>
      </w:r>
      <w:r>
        <w:rPr>
          <w:sz w:val="24"/>
        </w:rPr>
        <w:t>artment</w:t>
      </w:r>
      <w:r w:rsidRPr="002F5716">
        <w:rPr>
          <w:sz w:val="24"/>
        </w:rPr>
        <w:t xml:space="preserve"> of Geography and Atmospheric Science</w:t>
      </w:r>
      <w:r>
        <w:rPr>
          <w:sz w:val="24"/>
        </w:rPr>
        <w:t xml:space="preserve">, </w:t>
      </w:r>
      <w:r w:rsidRPr="002F5716">
        <w:rPr>
          <w:sz w:val="24"/>
        </w:rPr>
        <w:t>University of Kansas</w:t>
      </w:r>
      <w:r>
        <w:rPr>
          <w:sz w:val="24"/>
        </w:rPr>
        <w:t>, Lawrence</w:t>
      </w:r>
      <w:r w:rsidRPr="002F5716">
        <w:rPr>
          <w:sz w:val="24"/>
        </w:rPr>
        <w:t xml:space="preserve"> </w:t>
      </w:r>
      <w:r>
        <w:rPr>
          <w:sz w:val="24"/>
        </w:rPr>
        <w:t>KS 66045, USA.</w:t>
      </w:r>
    </w:p>
    <w:p w14:paraId="33117E11" w14:textId="5D76BFBE" w:rsidR="00356C61" w:rsidRDefault="00356C61" w:rsidP="00356C61">
      <w:pPr>
        <w:spacing w:before="120"/>
        <w:rPr>
          <w:sz w:val="24"/>
        </w:rPr>
      </w:pPr>
      <w:r>
        <w:rPr>
          <w:sz w:val="24"/>
          <w:vertAlign w:val="superscript"/>
        </w:rPr>
        <w:t>11</w:t>
      </w:r>
      <w:r>
        <w:rPr>
          <w:sz w:val="24"/>
        </w:rPr>
        <w:t xml:space="preserve"> </w:t>
      </w:r>
      <w:r w:rsidRPr="002F5716">
        <w:rPr>
          <w:sz w:val="24"/>
        </w:rPr>
        <w:t>Biological and Agricultural Engineering Department</w:t>
      </w:r>
      <w:r>
        <w:rPr>
          <w:sz w:val="24"/>
        </w:rPr>
        <w:t xml:space="preserve">, </w:t>
      </w:r>
      <w:r w:rsidRPr="002F5716">
        <w:rPr>
          <w:sz w:val="24"/>
        </w:rPr>
        <w:t>Texas A&amp;M University</w:t>
      </w:r>
      <w:r>
        <w:rPr>
          <w:sz w:val="24"/>
        </w:rPr>
        <w:t xml:space="preserve">, </w:t>
      </w:r>
      <w:r w:rsidRPr="002F5716">
        <w:rPr>
          <w:sz w:val="24"/>
        </w:rPr>
        <w:t>College Station, TX 77843</w:t>
      </w:r>
      <w:r>
        <w:rPr>
          <w:sz w:val="24"/>
        </w:rPr>
        <w:t>, USA.</w:t>
      </w:r>
    </w:p>
    <w:p w14:paraId="411E2E30" w14:textId="11E85DF6" w:rsidR="00356C61" w:rsidRDefault="00356C61" w:rsidP="00356C61">
      <w:pPr>
        <w:spacing w:before="120"/>
        <w:rPr>
          <w:sz w:val="24"/>
        </w:rPr>
      </w:pPr>
      <w:r>
        <w:rPr>
          <w:sz w:val="24"/>
          <w:vertAlign w:val="superscript"/>
        </w:rPr>
        <w:t>12</w:t>
      </w:r>
      <w:r>
        <w:rPr>
          <w:sz w:val="24"/>
        </w:rPr>
        <w:t xml:space="preserve"> </w:t>
      </w:r>
      <w:r w:rsidRPr="002F5716">
        <w:rPr>
          <w:sz w:val="24"/>
        </w:rPr>
        <w:t>Department of Civil and Environmental Engineering</w:t>
      </w:r>
      <w:r>
        <w:rPr>
          <w:sz w:val="24"/>
        </w:rPr>
        <w:t xml:space="preserve">, </w:t>
      </w:r>
      <w:r w:rsidRPr="002F5716">
        <w:rPr>
          <w:sz w:val="24"/>
        </w:rPr>
        <w:t>Washington State University, Pullman, WA  99164</w:t>
      </w:r>
      <w:r>
        <w:rPr>
          <w:sz w:val="24"/>
        </w:rPr>
        <w:t>, USA.</w:t>
      </w:r>
    </w:p>
    <w:p w14:paraId="3DDEC360" w14:textId="2FC74F78" w:rsidR="00356C61" w:rsidRDefault="00356C61" w:rsidP="00356C61">
      <w:pPr>
        <w:spacing w:before="120"/>
        <w:rPr>
          <w:sz w:val="24"/>
        </w:rPr>
      </w:pPr>
      <w:r>
        <w:rPr>
          <w:sz w:val="24"/>
          <w:vertAlign w:val="superscript"/>
        </w:rPr>
        <w:t>13</w:t>
      </w:r>
      <w:r>
        <w:rPr>
          <w:sz w:val="24"/>
        </w:rPr>
        <w:t xml:space="preserve"> </w:t>
      </w:r>
      <w:r w:rsidRPr="002F5716">
        <w:rPr>
          <w:sz w:val="24"/>
        </w:rPr>
        <w:t>School of Atmospheric Sciences, Sun Yat-sen University, Zhuhai 519082, China</w:t>
      </w:r>
      <w:r>
        <w:rPr>
          <w:sz w:val="24"/>
        </w:rPr>
        <w:t xml:space="preserve">. </w:t>
      </w:r>
    </w:p>
    <w:p w14:paraId="25FA0ED8" w14:textId="0B2F13D9" w:rsidR="00356C61" w:rsidRDefault="00356C61" w:rsidP="00356C61">
      <w:pPr>
        <w:spacing w:before="120"/>
        <w:rPr>
          <w:sz w:val="24"/>
        </w:rPr>
      </w:pPr>
      <w:r>
        <w:rPr>
          <w:sz w:val="24"/>
          <w:vertAlign w:val="superscript"/>
        </w:rPr>
        <w:t>14</w:t>
      </w:r>
      <w:r>
        <w:rPr>
          <w:sz w:val="24"/>
        </w:rPr>
        <w:t xml:space="preserve"> </w:t>
      </w:r>
      <w:r w:rsidRPr="008850ED">
        <w:rPr>
          <w:sz w:val="24"/>
        </w:rPr>
        <w:t>Department of Geography, Environment, and Spatial Sciences</w:t>
      </w:r>
      <w:r>
        <w:rPr>
          <w:sz w:val="24"/>
        </w:rPr>
        <w:t>, Michigan State University, East Lansing, MI 48823, USA.</w:t>
      </w:r>
    </w:p>
    <w:p w14:paraId="05184D90" w14:textId="0A3F8265" w:rsidR="00356C61" w:rsidRPr="005B2F55" w:rsidRDefault="00356C61" w:rsidP="00356C61">
      <w:pPr>
        <w:spacing w:before="120"/>
        <w:rPr>
          <w:sz w:val="24"/>
        </w:rPr>
      </w:pPr>
      <w:r>
        <w:rPr>
          <w:sz w:val="24"/>
          <w:vertAlign w:val="superscript"/>
        </w:rPr>
        <w:t>15</w:t>
      </w:r>
      <w:r>
        <w:rPr>
          <w:sz w:val="24"/>
        </w:rPr>
        <w:t xml:space="preserve"> </w:t>
      </w:r>
      <w:r w:rsidRPr="008850ED">
        <w:rPr>
          <w:sz w:val="24"/>
        </w:rPr>
        <w:t>Southwest Watershed Research Center, USDA Agricultural Research Service, Tucson, AZ</w:t>
      </w:r>
      <w:r>
        <w:rPr>
          <w:sz w:val="24"/>
        </w:rPr>
        <w:t xml:space="preserve"> 85719</w:t>
      </w:r>
      <w:r w:rsidRPr="008850ED">
        <w:rPr>
          <w:sz w:val="24"/>
        </w:rPr>
        <w:t>, USA</w:t>
      </w:r>
      <w:r>
        <w:rPr>
          <w:sz w:val="24"/>
        </w:rPr>
        <w:t>.</w:t>
      </w:r>
    </w:p>
    <w:p w14:paraId="10643FAB" w14:textId="16563E5C" w:rsidR="00356C61" w:rsidRDefault="00356C61" w:rsidP="00356C61">
      <w:pPr>
        <w:spacing w:before="120"/>
        <w:rPr>
          <w:sz w:val="24"/>
        </w:rPr>
      </w:pPr>
      <w:r>
        <w:rPr>
          <w:sz w:val="24"/>
          <w:vertAlign w:val="superscript"/>
        </w:rPr>
        <w:lastRenderedPageBreak/>
        <w:t>16</w:t>
      </w:r>
      <w:r>
        <w:rPr>
          <w:sz w:val="24"/>
        </w:rPr>
        <w:t xml:space="preserve"> </w:t>
      </w:r>
      <w:r w:rsidRPr="00D45257">
        <w:rPr>
          <w:sz w:val="24"/>
        </w:rPr>
        <w:t>Northwest Watershed Research Center, USDA Agricultural Research Service</w:t>
      </w:r>
      <w:r>
        <w:rPr>
          <w:sz w:val="24"/>
        </w:rPr>
        <w:t>,</w:t>
      </w:r>
      <w:r w:rsidRPr="00D45257">
        <w:rPr>
          <w:sz w:val="24"/>
        </w:rPr>
        <w:t xml:space="preserve"> Boise, ID  83702, USA</w:t>
      </w:r>
      <w:r>
        <w:rPr>
          <w:sz w:val="24"/>
        </w:rPr>
        <w:t>.</w:t>
      </w:r>
    </w:p>
    <w:p w14:paraId="70EB38FE" w14:textId="14088F3B" w:rsidR="00356C61" w:rsidRDefault="00356C61" w:rsidP="00356C61">
      <w:pPr>
        <w:spacing w:before="120"/>
        <w:rPr>
          <w:sz w:val="24"/>
        </w:rPr>
      </w:pPr>
      <w:r>
        <w:rPr>
          <w:sz w:val="24"/>
          <w:vertAlign w:val="superscript"/>
        </w:rPr>
        <w:t>17</w:t>
      </w:r>
      <w:r>
        <w:rPr>
          <w:sz w:val="24"/>
        </w:rPr>
        <w:t xml:space="preserve"> Department of Biological Systems Engineering, University of Wisconsin-Madison, </w:t>
      </w:r>
      <w:r w:rsidRPr="00722A5C">
        <w:rPr>
          <w:sz w:val="24"/>
        </w:rPr>
        <w:t>Madison, WI 53706</w:t>
      </w:r>
      <w:r>
        <w:rPr>
          <w:sz w:val="24"/>
        </w:rPr>
        <w:t>, USA.</w:t>
      </w:r>
    </w:p>
    <w:p w14:paraId="0AF6591E" w14:textId="2098D0B9" w:rsidR="00356C61" w:rsidRDefault="00356C61" w:rsidP="00356C61">
      <w:pPr>
        <w:spacing w:before="120"/>
        <w:rPr>
          <w:sz w:val="24"/>
        </w:rPr>
      </w:pPr>
      <w:r>
        <w:rPr>
          <w:sz w:val="24"/>
          <w:vertAlign w:val="superscript"/>
        </w:rPr>
        <w:t>18</w:t>
      </w:r>
      <w:r>
        <w:rPr>
          <w:sz w:val="24"/>
        </w:rPr>
        <w:t xml:space="preserve"> </w:t>
      </w:r>
      <w:r w:rsidRPr="00722A5C">
        <w:rPr>
          <w:sz w:val="24"/>
        </w:rPr>
        <w:t>Department of Forest and Wildlife Ecology, University of Wisconsin-Madison, Madison, WI 53706, USA</w:t>
      </w:r>
      <w:r>
        <w:rPr>
          <w:sz w:val="24"/>
        </w:rPr>
        <w:t>.</w:t>
      </w:r>
    </w:p>
    <w:p w14:paraId="768FE9A1" w14:textId="5F891280" w:rsidR="0014681F" w:rsidRDefault="0014681F" w:rsidP="0014681F">
      <w:pPr>
        <w:spacing w:before="120"/>
        <w:rPr>
          <w:sz w:val="24"/>
        </w:rPr>
      </w:pPr>
      <w:r>
        <w:rPr>
          <w:sz w:val="24"/>
          <w:vertAlign w:val="superscript"/>
        </w:rPr>
        <w:t>19</w:t>
      </w:r>
      <w:r w:rsidRPr="00722A5C">
        <w:rPr>
          <w:sz w:val="24"/>
        </w:rPr>
        <w:t xml:space="preserve"> School of Public and Environmental Affairs, </w:t>
      </w:r>
      <w:r>
        <w:rPr>
          <w:sz w:val="24"/>
        </w:rPr>
        <w:t>Indiana</w:t>
      </w:r>
      <w:r w:rsidRPr="00722A5C">
        <w:rPr>
          <w:sz w:val="24"/>
        </w:rPr>
        <w:t xml:space="preserve"> University, </w:t>
      </w:r>
      <w:r>
        <w:rPr>
          <w:sz w:val="24"/>
        </w:rPr>
        <w:t>Indianapolis, IN 46202, USA.</w:t>
      </w:r>
    </w:p>
    <w:p w14:paraId="27C59CA8" w14:textId="794C283B" w:rsidR="00356C61" w:rsidRDefault="0014681F" w:rsidP="00356C61">
      <w:pPr>
        <w:spacing w:before="120"/>
        <w:rPr>
          <w:sz w:val="24"/>
        </w:rPr>
      </w:pPr>
      <w:r>
        <w:rPr>
          <w:sz w:val="24"/>
          <w:vertAlign w:val="superscript"/>
        </w:rPr>
        <w:t>20</w:t>
      </w:r>
      <w:r w:rsidR="00356C61" w:rsidRPr="00722A5C">
        <w:rPr>
          <w:sz w:val="24"/>
        </w:rPr>
        <w:t xml:space="preserve"> State Key Laboratory of Water Resources Engineering and Management, Wuhan University, Wuhan</w:t>
      </w:r>
      <w:r w:rsidR="00356C61">
        <w:rPr>
          <w:sz w:val="24"/>
        </w:rPr>
        <w:t xml:space="preserve"> 430072</w:t>
      </w:r>
      <w:r w:rsidR="00356C61" w:rsidRPr="00722A5C">
        <w:rPr>
          <w:sz w:val="24"/>
        </w:rPr>
        <w:t>, China</w:t>
      </w:r>
      <w:r w:rsidR="00356C61">
        <w:rPr>
          <w:sz w:val="24"/>
        </w:rPr>
        <w:t xml:space="preserve">. </w:t>
      </w:r>
    </w:p>
    <w:p w14:paraId="1B9B3033" w14:textId="0D73B822" w:rsidR="00356C61" w:rsidRDefault="00356C61" w:rsidP="00356C61">
      <w:pPr>
        <w:spacing w:before="120"/>
        <w:rPr>
          <w:sz w:val="24"/>
        </w:rPr>
      </w:pPr>
      <w:r>
        <w:rPr>
          <w:sz w:val="24"/>
          <w:vertAlign w:val="superscript"/>
        </w:rPr>
        <w:t>21</w:t>
      </w:r>
      <w:r w:rsidRPr="00722A5C">
        <w:rPr>
          <w:sz w:val="24"/>
        </w:rPr>
        <w:t xml:space="preserve"> </w:t>
      </w:r>
      <w:r>
        <w:rPr>
          <w:sz w:val="24"/>
        </w:rPr>
        <w:t xml:space="preserve">Division of Environmental Science, Argonne National Laboratory, </w:t>
      </w:r>
      <w:r w:rsidRPr="00335F43">
        <w:rPr>
          <w:sz w:val="24"/>
        </w:rPr>
        <w:t>Lemont, IL 60439</w:t>
      </w:r>
      <w:r>
        <w:rPr>
          <w:sz w:val="24"/>
        </w:rPr>
        <w:t>, USA.</w:t>
      </w:r>
    </w:p>
    <w:p w14:paraId="2B94DA10" w14:textId="3E8915BB" w:rsidR="00356C61" w:rsidRDefault="00356C61" w:rsidP="00356C61">
      <w:pPr>
        <w:spacing w:before="120"/>
        <w:rPr>
          <w:sz w:val="24"/>
        </w:rPr>
      </w:pPr>
      <w:r>
        <w:rPr>
          <w:sz w:val="24"/>
          <w:vertAlign w:val="superscript"/>
        </w:rPr>
        <w:t>22</w:t>
      </w:r>
      <w:r>
        <w:rPr>
          <w:sz w:val="24"/>
        </w:rPr>
        <w:t xml:space="preserve"> Department of Geoecology, </w:t>
      </w:r>
      <w:r w:rsidRPr="00335F43">
        <w:rPr>
          <w:sz w:val="24"/>
        </w:rPr>
        <w:t>Martin Luther University Halle-Wittenberg</w:t>
      </w:r>
      <w:r>
        <w:rPr>
          <w:sz w:val="24"/>
        </w:rPr>
        <w:t>, Wittenberg 06099, Germany.</w:t>
      </w:r>
    </w:p>
    <w:p w14:paraId="087E60DF" w14:textId="0E5BF0E0" w:rsidR="00356C61" w:rsidRDefault="00356C61" w:rsidP="00356C61">
      <w:pPr>
        <w:spacing w:before="120"/>
        <w:rPr>
          <w:sz w:val="24"/>
        </w:rPr>
      </w:pPr>
      <w:r>
        <w:rPr>
          <w:sz w:val="24"/>
          <w:vertAlign w:val="superscript"/>
        </w:rPr>
        <w:t>23</w:t>
      </w:r>
      <w:r>
        <w:rPr>
          <w:sz w:val="24"/>
        </w:rPr>
        <w:t xml:space="preserve"> </w:t>
      </w:r>
      <w:r w:rsidRPr="00335F43">
        <w:rPr>
          <w:sz w:val="24"/>
        </w:rPr>
        <w:t>Information and Computational Science, James Hutton Institute, Aberdeen</w:t>
      </w:r>
      <w:r>
        <w:rPr>
          <w:sz w:val="24"/>
        </w:rPr>
        <w:t xml:space="preserve"> </w:t>
      </w:r>
      <w:r w:rsidRPr="00DD36FC">
        <w:rPr>
          <w:sz w:val="24"/>
        </w:rPr>
        <w:t>AB15 8QH</w:t>
      </w:r>
      <w:r w:rsidRPr="00335F43">
        <w:rPr>
          <w:sz w:val="24"/>
        </w:rPr>
        <w:t>, United Kingdom</w:t>
      </w:r>
      <w:r>
        <w:rPr>
          <w:sz w:val="24"/>
        </w:rPr>
        <w:t>.</w:t>
      </w:r>
    </w:p>
    <w:p w14:paraId="7357024E" w14:textId="6094546C" w:rsidR="00356C61" w:rsidRDefault="00356C61" w:rsidP="00356C61">
      <w:pPr>
        <w:spacing w:before="120"/>
        <w:rPr>
          <w:sz w:val="24"/>
        </w:rPr>
      </w:pPr>
      <w:r>
        <w:rPr>
          <w:sz w:val="24"/>
          <w:vertAlign w:val="superscript"/>
        </w:rPr>
        <w:t>24</w:t>
      </w:r>
      <w:r>
        <w:rPr>
          <w:sz w:val="24"/>
        </w:rPr>
        <w:t xml:space="preserve"> </w:t>
      </w:r>
      <w:r w:rsidRPr="00DD36FC">
        <w:rPr>
          <w:sz w:val="24"/>
        </w:rPr>
        <w:t>Department of Biological Sciences</w:t>
      </w:r>
      <w:r>
        <w:rPr>
          <w:sz w:val="24"/>
        </w:rPr>
        <w:t xml:space="preserve">, </w:t>
      </w:r>
      <w:r w:rsidRPr="00DD36FC">
        <w:rPr>
          <w:sz w:val="24"/>
        </w:rPr>
        <w:t>The University of Texas at El Paso</w:t>
      </w:r>
      <w:r>
        <w:rPr>
          <w:sz w:val="24"/>
        </w:rPr>
        <w:t xml:space="preserve">, </w:t>
      </w:r>
      <w:r w:rsidRPr="00DD36FC">
        <w:rPr>
          <w:sz w:val="24"/>
        </w:rPr>
        <w:t>El Paso, TX 79902</w:t>
      </w:r>
      <w:r>
        <w:rPr>
          <w:sz w:val="24"/>
        </w:rPr>
        <w:t>, USA.</w:t>
      </w:r>
    </w:p>
    <w:p w14:paraId="6C006C7C" w14:textId="5A380D8E" w:rsidR="00356C61" w:rsidRPr="00722A5C" w:rsidRDefault="00356C61" w:rsidP="00356C61">
      <w:pPr>
        <w:spacing w:before="120"/>
        <w:rPr>
          <w:sz w:val="24"/>
        </w:rPr>
      </w:pPr>
      <w:r>
        <w:rPr>
          <w:sz w:val="24"/>
          <w:vertAlign w:val="superscript"/>
        </w:rPr>
        <w:t>25</w:t>
      </w:r>
      <w:r w:rsidRPr="00D3478D">
        <w:rPr>
          <w:sz w:val="24"/>
        </w:rPr>
        <w:t xml:space="preserve"> </w:t>
      </w:r>
      <w:bookmarkStart w:id="0" w:name="_Hlk161405262"/>
      <w:r w:rsidR="00DC7A65">
        <w:rPr>
          <w:sz w:val="24"/>
        </w:rPr>
        <w:t xml:space="preserve">Climate and Ecosystem Sciences Division, </w:t>
      </w:r>
      <w:r w:rsidR="00DC7A65" w:rsidRPr="00DC7A65">
        <w:rPr>
          <w:sz w:val="24"/>
        </w:rPr>
        <w:t>Lawrence Berkeley National Laboratory</w:t>
      </w:r>
      <w:r>
        <w:rPr>
          <w:sz w:val="24"/>
        </w:rPr>
        <w:t xml:space="preserve">, </w:t>
      </w:r>
      <w:r w:rsidRPr="00685188">
        <w:rPr>
          <w:sz w:val="24"/>
        </w:rPr>
        <w:t>Berkeley</w:t>
      </w:r>
      <w:r>
        <w:rPr>
          <w:sz w:val="24"/>
        </w:rPr>
        <w:t xml:space="preserve"> CA 94720, USA.</w:t>
      </w:r>
      <w:bookmarkEnd w:id="0"/>
    </w:p>
    <w:p w14:paraId="674EBE84" w14:textId="47B4DF45" w:rsidR="00356C61" w:rsidRPr="00D3478D" w:rsidRDefault="00356C61" w:rsidP="00356C61">
      <w:pPr>
        <w:spacing w:before="120"/>
        <w:rPr>
          <w:sz w:val="24"/>
          <w:szCs w:val="24"/>
        </w:rPr>
      </w:pPr>
      <w:r>
        <w:rPr>
          <w:sz w:val="24"/>
          <w:vertAlign w:val="superscript"/>
        </w:rPr>
        <w:t>26</w:t>
      </w:r>
      <w:r w:rsidRPr="00D3478D">
        <w:rPr>
          <w:sz w:val="24"/>
        </w:rPr>
        <w:t xml:space="preserve"> Department of Biological </w:t>
      </w:r>
      <w:r>
        <w:rPr>
          <w:sz w:val="24"/>
          <w:szCs w:val="24"/>
        </w:rPr>
        <w:t xml:space="preserve">Systems Engineering, University of Nebraska-Lincoln, </w:t>
      </w:r>
      <w:r w:rsidRPr="00D3478D">
        <w:rPr>
          <w:sz w:val="24"/>
          <w:szCs w:val="24"/>
        </w:rPr>
        <w:t>Lincoln, NE 68588</w:t>
      </w:r>
      <w:r>
        <w:rPr>
          <w:sz w:val="24"/>
          <w:szCs w:val="24"/>
        </w:rPr>
        <w:t>, USA.</w:t>
      </w:r>
    </w:p>
    <w:p w14:paraId="4B080A82" w14:textId="77777777" w:rsidR="00356C61" w:rsidRDefault="00356C61" w:rsidP="00B719C8">
      <w:pPr>
        <w:pStyle w:val="Affiliation"/>
      </w:pPr>
    </w:p>
    <w:p w14:paraId="5614852F" w14:textId="62AF772E" w:rsidR="00DE3F91" w:rsidRDefault="0014681F" w:rsidP="003137C3">
      <w:pPr>
        <w:pStyle w:val="Affiliation"/>
      </w:pPr>
      <w:r>
        <w:t>*</w:t>
      </w:r>
      <w:r w:rsidR="00F97AF7">
        <w:t xml:space="preserve"> </w:t>
      </w:r>
      <w:r w:rsidR="008A6077">
        <w:t>Correspond</w:t>
      </w:r>
      <w:r w:rsidR="00DE3F91">
        <w:t>ing</w:t>
      </w:r>
      <w:r w:rsidR="008A6077">
        <w:t xml:space="preserve"> </w:t>
      </w:r>
      <w:r w:rsidR="006F662E">
        <w:t>author:</w:t>
      </w:r>
      <w:r w:rsidR="008A6077">
        <w:t xml:space="preserve"> </w:t>
      </w:r>
      <w:r w:rsidR="00356C61">
        <w:t>Yushu Xia</w:t>
      </w:r>
      <w:r w:rsidR="00DE3F91">
        <w:t xml:space="preserve"> (</w:t>
      </w:r>
      <w:hyperlink r:id="rId7" w:history="1">
        <w:r w:rsidR="00356C61" w:rsidRPr="005B5924">
          <w:rPr>
            <w:rStyle w:val="Hyperlink"/>
          </w:rPr>
          <w:t>yushuxia@ldeo.columbia.edu)</w:t>
        </w:r>
      </w:hyperlink>
      <w:r w:rsidR="00DE3F91">
        <w:t xml:space="preserve"> </w:t>
      </w:r>
    </w:p>
    <w:p w14:paraId="06FDCBD0" w14:textId="703CE7BA" w:rsidR="00DE3F91" w:rsidRDefault="008A6077" w:rsidP="003137C3">
      <w:pPr>
        <w:pStyle w:val="Affiliation"/>
      </w:pPr>
      <w:r>
        <w:t>†</w:t>
      </w:r>
      <w:r w:rsidR="0014681F">
        <w:t xml:space="preserve"> C</w:t>
      </w:r>
      <w:r w:rsidR="009B68DA">
        <w:t>urrent address</w:t>
      </w:r>
    </w:p>
    <w:p w14:paraId="3D2B38DC" w14:textId="77777777" w:rsidR="0014681F" w:rsidRDefault="0014681F" w:rsidP="0014681F"/>
    <w:p w14:paraId="7AB57FA7" w14:textId="77777777" w:rsidR="00E12855" w:rsidRDefault="00E12855" w:rsidP="0014681F"/>
    <w:p w14:paraId="52EAA876" w14:textId="5774F6C1" w:rsidR="00C94AA5" w:rsidRDefault="00C94AA5" w:rsidP="005358D5">
      <w:pPr>
        <w:pStyle w:val="Heading-Main"/>
      </w:pPr>
      <w:r>
        <w:t>Key Points:</w:t>
      </w:r>
    </w:p>
    <w:p w14:paraId="69E7E6EF" w14:textId="77777777" w:rsidR="00F97AF7" w:rsidRDefault="00F97AF7" w:rsidP="00C81368">
      <w:pPr>
        <w:pStyle w:val="KeyPoints"/>
        <w:numPr>
          <w:ilvl w:val="0"/>
          <w:numId w:val="9"/>
        </w:numPr>
      </w:pPr>
      <w:r w:rsidRPr="00F97AF7">
        <w:t xml:space="preserve">The Rangeland Carbon Tracking and Monitoring System was calibrated to simulate vegetation type-specific rangeland C dynamics </w:t>
      </w:r>
    </w:p>
    <w:p w14:paraId="22C1B447" w14:textId="77777777" w:rsidR="00F97AF7" w:rsidRDefault="00F97AF7" w:rsidP="00F97AF7">
      <w:pPr>
        <w:pStyle w:val="KeyPoints"/>
        <w:numPr>
          <w:ilvl w:val="0"/>
          <w:numId w:val="9"/>
        </w:numPr>
      </w:pPr>
      <w:r w:rsidRPr="00F97AF7">
        <w:t xml:space="preserve">Regional variability in carbon fluxes and soil organic carbon is well represented by a remote sensing-driven process modeling approach </w:t>
      </w:r>
    </w:p>
    <w:p w14:paraId="595C94CB" w14:textId="2E739256" w:rsidR="00F97AF7" w:rsidRPr="00F97AF7" w:rsidRDefault="00F97AF7" w:rsidP="00F97AF7">
      <w:pPr>
        <w:pStyle w:val="KeyPoints"/>
        <w:numPr>
          <w:ilvl w:val="0"/>
          <w:numId w:val="9"/>
        </w:numPr>
      </w:pPr>
      <w:r w:rsidRPr="00F97AF7">
        <w:t>Soil organic carbon stocks in Western and Midwestern U.S. rangelands increased over the past 20 years due to increased precipitation</w:t>
      </w:r>
    </w:p>
    <w:p w14:paraId="5C03B4CB" w14:textId="77777777" w:rsidR="00B719C8" w:rsidRDefault="00B719C8">
      <w:pPr>
        <w:rPr>
          <w:color w:val="00B0F0"/>
        </w:rPr>
      </w:pPr>
      <w:r>
        <w:br w:type="page"/>
      </w:r>
    </w:p>
    <w:p w14:paraId="2659CCE1" w14:textId="77777777" w:rsidR="002F3B11" w:rsidRDefault="008A6077" w:rsidP="00C81368">
      <w:pPr>
        <w:pStyle w:val="Heading-Main"/>
      </w:pPr>
      <w:r w:rsidRPr="00987EE5">
        <w:lastRenderedPageBreak/>
        <w:t>Abstract</w:t>
      </w:r>
    </w:p>
    <w:p w14:paraId="13F36E0B" w14:textId="759DE2D1" w:rsidR="00F97AF7" w:rsidRPr="00F97AF7" w:rsidRDefault="00F97AF7" w:rsidP="00F97AF7">
      <w:pPr>
        <w:spacing w:before="120"/>
        <w:jc w:val="both"/>
        <w:rPr>
          <w:rFonts w:eastAsia="SimSun"/>
          <w:bCs/>
          <w:sz w:val="24"/>
          <w:szCs w:val="24"/>
        </w:rPr>
      </w:pPr>
      <w:r w:rsidRPr="00C1362F">
        <w:rPr>
          <w:rFonts w:eastAsia="SimSun"/>
          <w:bCs/>
          <w:sz w:val="24"/>
          <w:szCs w:val="24"/>
        </w:rPr>
        <w:t>Rangelands</w:t>
      </w:r>
      <w:r>
        <w:rPr>
          <w:rFonts w:eastAsia="SimSun"/>
          <w:bCs/>
          <w:sz w:val="24"/>
          <w:szCs w:val="24"/>
        </w:rPr>
        <w:t xml:space="preserve"> </w:t>
      </w:r>
      <w:r w:rsidRPr="00C1362F">
        <w:rPr>
          <w:rFonts w:eastAsia="SimSun"/>
          <w:bCs/>
          <w:sz w:val="24"/>
          <w:szCs w:val="24"/>
        </w:rPr>
        <w:t xml:space="preserve">provide significant environmental benefits through </w:t>
      </w:r>
      <w:r>
        <w:rPr>
          <w:rFonts w:eastAsia="SimSun"/>
          <w:bCs/>
          <w:sz w:val="24"/>
          <w:szCs w:val="24"/>
        </w:rPr>
        <w:t xml:space="preserve">many </w:t>
      </w:r>
      <w:r w:rsidRPr="00C1362F">
        <w:rPr>
          <w:rFonts w:eastAsia="SimSun"/>
          <w:bCs/>
          <w:sz w:val="24"/>
          <w:szCs w:val="24"/>
        </w:rPr>
        <w:t>ecosystem services</w:t>
      </w:r>
      <w:r>
        <w:rPr>
          <w:rFonts w:eastAsia="SimSun"/>
          <w:bCs/>
          <w:sz w:val="24"/>
          <w:szCs w:val="24"/>
        </w:rPr>
        <w:t xml:space="preserve">, which may include </w:t>
      </w:r>
      <w:r w:rsidRPr="00C1362F">
        <w:rPr>
          <w:rFonts w:eastAsia="SimSun"/>
          <w:bCs/>
          <w:sz w:val="24"/>
          <w:szCs w:val="24"/>
        </w:rPr>
        <w:t>soil organic carbon (SOC) sequestration. However, quantifying SOC stocks and monitoring carbon (C) fluxes in rangelands are challenging due to the considerable spatial and temporal variability tied to rangeland C dynamics</w:t>
      </w:r>
      <w:r>
        <w:rPr>
          <w:rFonts w:eastAsia="SimSun"/>
          <w:bCs/>
          <w:sz w:val="24"/>
          <w:szCs w:val="24"/>
        </w:rPr>
        <w:t>,</w:t>
      </w:r>
      <w:r w:rsidRPr="00C1362F">
        <w:rPr>
          <w:rFonts w:eastAsia="SimSun"/>
          <w:bCs/>
          <w:sz w:val="24"/>
          <w:szCs w:val="24"/>
        </w:rPr>
        <w:t xml:space="preserve"> as well as limited data availability. We </w:t>
      </w:r>
      <w:r>
        <w:rPr>
          <w:rFonts w:eastAsia="SimSun"/>
          <w:bCs/>
          <w:sz w:val="24"/>
          <w:szCs w:val="24"/>
        </w:rPr>
        <w:t>developed</w:t>
      </w:r>
      <w:r w:rsidRPr="00C1362F">
        <w:rPr>
          <w:rFonts w:eastAsia="SimSun"/>
          <w:bCs/>
          <w:sz w:val="24"/>
          <w:szCs w:val="24"/>
        </w:rPr>
        <w:t xml:space="preserve"> a Rangeland Carbon Tracking and Management (RCTM) system to </w:t>
      </w:r>
      <w:r>
        <w:rPr>
          <w:rFonts w:eastAsia="SimSun"/>
          <w:bCs/>
          <w:sz w:val="24"/>
          <w:szCs w:val="24"/>
        </w:rPr>
        <w:t>track</w:t>
      </w:r>
      <w:r w:rsidRPr="00C1362F">
        <w:rPr>
          <w:rFonts w:eastAsia="SimSun"/>
          <w:bCs/>
          <w:sz w:val="24"/>
          <w:szCs w:val="24"/>
        </w:rPr>
        <w:t xml:space="preserve"> long-term changes </w:t>
      </w:r>
      <w:r>
        <w:rPr>
          <w:rFonts w:eastAsia="SimSun"/>
          <w:bCs/>
          <w:sz w:val="24"/>
          <w:szCs w:val="24"/>
        </w:rPr>
        <w:t xml:space="preserve">in </w:t>
      </w:r>
      <w:r w:rsidRPr="00C1362F">
        <w:rPr>
          <w:rFonts w:eastAsia="SimSun"/>
          <w:bCs/>
          <w:sz w:val="24"/>
          <w:szCs w:val="24"/>
        </w:rPr>
        <w:t xml:space="preserve">SOC and </w:t>
      </w:r>
      <w:r>
        <w:rPr>
          <w:rFonts w:eastAsia="SimSun"/>
          <w:bCs/>
          <w:sz w:val="24"/>
          <w:szCs w:val="24"/>
        </w:rPr>
        <w:t xml:space="preserve">ecosystem </w:t>
      </w:r>
      <w:r w:rsidRPr="00C1362F">
        <w:rPr>
          <w:rFonts w:eastAsia="SimSun"/>
          <w:bCs/>
          <w:sz w:val="24"/>
          <w:szCs w:val="24"/>
        </w:rPr>
        <w:t>C flux</w:t>
      </w:r>
      <w:r>
        <w:rPr>
          <w:rFonts w:eastAsia="SimSun"/>
          <w:bCs/>
          <w:sz w:val="24"/>
          <w:szCs w:val="24"/>
        </w:rPr>
        <w:t>es</w:t>
      </w:r>
      <w:r w:rsidRPr="00C1362F">
        <w:rPr>
          <w:rFonts w:eastAsia="SimSun"/>
          <w:bCs/>
          <w:sz w:val="24"/>
          <w:szCs w:val="24"/>
        </w:rPr>
        <w:t xml:space="preserve"> by leveraging remote sensing inputs and </w:t>
      </w:r>
      <w:r>
        <w:rPr>
          <w:rFonts w:eastAsia="SimSun"/>
          <w:bCs/>
          <w:sz w:val="24"/>
          <w:szCs w:val="24"/>
        </w:rPr>
        <w:t>environmental variable</w:t>
      </w:r>
      <w:r w:rsidRPr="00C1362F">
        <w:rPr>
          <w:rFonts w:eastAsia="SimSun"/>
          <w:bCs/>
          <w:sz w:val="24"/>
          <w:szCs w:val="24"/>
        </w:rPr>
        <w:t xml:space="preserve"> datasets with </w:t>
      </w:r>
      <w:r>
        <w:rPr>
          <w:rFonts w:eastAsia="SimSun"/>
          <w:bCs/>
          <w:sz w:val="24"/>
          <w:szCs w:val="24"/>
        </w:rPr>
        <w:t>algorithms representing terrestrial C-cycle processes</w:t>
      </w:r>
      <w:r w:rsidRPr="00C1362F">
        <w:rPr>
          <w:rFonts w:eastAsia="SimSun"/>
          <w:bCs/>
          <w:sz w:val="24"/>
          <w:szCs w:val="24"/>
        </w:rPr>
        <w:t xml:space="preserve">. Bayesian calibration was conducted </w:t>
      </w:r>
      <w:r>
        <w:rPr>
          <w:rFonts w:eastAsia="SimSun"/>
          <w:bCs/>
          <w:sz w:val="24"/>
          <w:szCs w:val="24"/>
        </w:rPr>
        <w:t>using</w:t>
      </w:r>
      <w:r w:rsidRPr="00C1362F">
        <w:rPr>
          <w:rFonts w:eastAsia="SimSun"/>
          <w:bCs/>
          <w:sz w:val="24"/>
          <w:szCs w:val="24"/>
        </w:rPr>
        <w:t xml:space="preserve"> quality-controlled C flux datasets obtained from 61 Ameriflux and NEON </w:t>
      </w:r>
      <w:r>
        <w:rPr>
          <w:rFonts w:eastAsia="SimSun"/>
          <w:bCs/>
          <w:sz w:val="24"/>
          <w:szCs w:val="24"/>
        </w:rPr>
        <w:t xml:space="preserve">flux tower </w:t>
      </w:r>
      <w:r w:rsidRPr="00C1362F">
        <w:rPr>
          <w:rFonts w:eastAsia="SimSun"/>
          <w:bCs/>
          <w:sz w:val="24"/>
          <w:szCs w:val="24"/>
        </w:rPr>
        <w:t>sites</w:t>
      </w:r>
      <w:r w:rsidRPr="006C3E7B">
        <w:rPr>
          <w:rFonts w:eastAsia="SimSun"/>
          <w:bCs/>
          <w:sz w:val="24"/>
          <w:szCs w:val="24"/>
        </w:rPr>
        <w:t xml:space="preserve"> </w:t>
      </w:r>
      <w:r w:rsidRPr="00C1362F">
        <w:rPr>
          <w:rFonts w:eastAsia="SimSun"/>
          <w:bCs/>
          <w:sz w:val="24"/>
          <w:szCs w:val="24"/>
        </w:rPr>
        <w:t>fr</w:t>
      </w:r>
      <w:r>
        <w:rPr>
          <w:rFonts w:eastAsia="SimSun"/>
          <w:bCs/>
          <w:sz w:val="24"/>
          <w:szCs w:val="24"/>
        </w:rPr>
        <w:t>om</w:t>
      </w:r>
      <w:r w:rsidRPr="00C1362F">
        <w:rPr>
          <w:rFonts w:eastAsia="SimSun"/>
          <w:bCs/>
          <w:sz w:val="24"/>
          <w:szCs w:val="24"/>
        </w:rPr>
        <w:t xml:space="preserve"> Western and Midwestern U.S. rangelands, to parameterize </w:t>
      </w:r>
      <w:r>
        <w:rPr>
          <w:rFonts w:eastAsia="SimSun"/>
          <w:bCs/>
          <w:sz w:val="24"/>
          <w:szCs w:val="24"/>
        </w:rPr>
        <w:t>the model according to dominant vegetation</w:t>
      </w:r>
      <w:r w:rsidRPr="00C1362F">
        <w:rPr>
          <w:rFonts w:eastAsia="SimSun"/>
          <w:bCs/>
          <w:sz w:val="24"/>
          <w:szCs w:val="24"/>
        </w:rPr>
        <w:t xml:space="preserve"> classes (perennial and/or annual grass, grass-shrub mixture, and grass-tree mixture). The </w:t>
      </w:r>
      <w:r>
        <w:rPr>
          <w:rFonts w:eastAsia="SimSun"/>
          <w:bCs/>
          <w:sz w:val="24"/>
          <w:szCs w:val="24"/>
        </w:rPr>
        <w:t xml:space="preserve">resulting </w:t>
      </w:r>
      <w:r w:rsidRPr="00C1362F">
        <w:rPr>
          <w:rFonts w:eastAsia="SimSun"/>
          <w:bCs/>
          <w:sz w:val="24"/>
          <w:szCs w:val="24"/>
        </w:rPr>
        <w:t xml:space="preserve">RCTM system </w:t>
      </w:r>
      <w:r>
        <w:rPr>
          <w:rFonts w:eastAsia="SimSun"/>
          <w:bCs/>
          <w:sz w:val="24"/>
          <w:szCs w:val="24"/>
        </w:rPr>
        <w:t>produced</w:t>
      </w:r>
      <w:r w:rsidRPr="00C1362F">
        <w:rPr>
          <w:rFonts w:eastAsia="SimSun"/>
          <w:bCs/>
          <w:sz w:val="24"/>
          <w:szCs w:val="24"/>
        </w:rPr>
        <w:t xml:space="preserve"> </w:t>
      </w:r>
      <w:r>
        <w:rPr>
          <w:rFonts w:eastAsia="SimSun"/>
          <w:bCs/>
          <w:sz w:val="24"/>
          <w:szCs w:val="24"/>
        </w:rPr>
        <w:t>higher model</w:t>
      </w:r>
      <w:r w:rsidRPr="00C1362F">
        <w:rPr>
          <w:rFonts w:eastAsia="SimSun"/>
          <w:bCs/>
          <w:sz w:val="24"/>
          <w:szCs w:val="24"/>
        </w:rPr>
        <w:t xml:space="preserve"> accuracy for estimating annual cumulative gross primary productivity (GPP) (R</w:t>
      </w:r>
      <w:r w:rsidRPr="00C1362F">
        <w:rPr>
          <w:rFonts w:eastAsia="SimSun"/>
          <w:bCs/>
          <w:sz w:val="24"/>
          <w:szCs w:val="24"/>
          <w:vertAlign w:val="superscript"/>
        </w:rPr>
        <w:t>2</w:t>
      </w:r>
      <w:r w:rsidRPr="00C1362F">
        <w:rPr>
          <w:rFonts w:eastAsia="SimSun"/>
          <w:bCs/>
          <w:sz w:val="24"/>
          <w:szCs w:val="24"/>
        </w:rPr>
        <w:t xml:space="preserve"> &gt; 0.6, RMSE &lt; 390 g C m</w:t>
      </w:r>
      <w:r w:rsidRPr="00C1362F">
        <w:rPr>
          <w:rFonts w:eastAsia="SimSun"/>
          <w:bCs/>
          <w:sz w:val="24"/>
          <w:szCs w:val="24"/>
          <w:vertAlign w:val="superscript"/>
        </w:rPr>
        <w:t>-2</w:t>
      </w:r>
      <w:r w:rsidRPr="00C1362F">
        <w:rPr>
          <w:rFonts w:eastAsia="SimSun"/>
          <w:bCs/>
          <w:sz w:val="24"/>
          <w:szCs w:val="24"/>
        </w:rPr>
        <w:t xml:space="preserve">) </w:t>
      </w:r>
      <w:r>
        <w:rPr>
          <w:rFonts w:eastAsia="SimSun"/>
          <w:bCs/>
          <w:sz w:val="24"/>
          <w:szCs w:val="24"/>
        </w:rPr>
        <w:t>than</w:t>
      </w:r>
      <w:r w:rsidRPr="00C1362F">
        <w:rPr>
          <w:rFonts w:eastAsia="SimSun"/>
          <w:bCs/>
          <w:sz w:val="24"/>
          <w:szCs w:val="24"/>
        </w:rPr>
        <w:t xml:space="preserve"> net ecosystem exchange </w:t>
      </w:r>
      <w:r>
        <w:rPr>
          <w:rFonts w:eastAsia="SimSun"/>
          <w:bCs/>
          <w:sz w:val="24"/>
          <w:szCs w:val="24"/>
        </w:rPr>
        <w:t>of CO</w:t>
      </w:r>
      <w:r w:rsidRPr="00C541F9">
        <w:rPr>
          <w:rFonts w:eastAsia="SimSun"/>
          <w:bCs/>
          <w:sz w:val="24"/>
          <w:szCs w:val="24"/>
          <w:vertAlign w:val="subscript"/>
        </w:rPr>
        <w:t>2</w:t>
      </w:r>
      <w:r>
        <w:rPr>
          <w:rFonts w:eastAsia="SimSun"/>
          <w:bCs/>
          <w:sz w:val="24"/>
          <w:szCs w:val="24"/>
        </w:rPr>
        <w:t xml:space="preserve"> </w:t>
      </w:r>
      <w:r w:rsidRPr="00C1362F">
        <w:rPr>
          <w:rFonts w:eastAsia="SimSun"/>
          <w:bCs/>
          <w:sz w:val="24"/>
          <w:szCs w:val="24"/>
        </w:rPr>
        <w:t>(NEE) (R</w:t>
      </w:r>
      <w:r w:rsidRPr="00C1362F">
        <w:rPr>
          <w:rFonts w:eastAsia="SimSun"/>
          <w:bCs/>
          <w:sz w:val="24"/>
          <w:szCs w:val="24"/>
          <w:vertAlign w:val="superscript"/>
        </w:rPr>
        <w:t>2</w:t>
      </w:r>
      <w:r w:rsidRPr="00C1362F">
        <w:rPr>
          <w:rFonts w:eastAsia="SimSun"/>
          <w:bCs/>
          <w:sz w:val="24"/>
          <w:szCs w:val="24"/>
        </w:rPr>
        <w:t xml:space="preserve"> &gt; 0.4, RMSE &lt; 180 g C m</w:t>
      </w:r>
      <w:r w:rsidRPr="00C1362F">
        <w:rPr>
          <w:rFonts w:eastAsia="SimSun"/>
          <w:bCs/>
          <w:sz w:val="24"/>
          <w:szCs w:val="24"/>
          <w:vertAlign w:val="superscript"/>
        </w:rPr>
        <w:t>-2</w:t>
      </w:r>
      <w:r w:rsidRPr="00C1362F">
        <w:rPr>
          <w:rFonts w:eastAsia="SimSun"/>
          <w:bCs/>
          <w:sz w:val="24"/>
          <w:szCs w:val="24"/>
        </w:rPr>
        <w:t xml:space="preserve">), and captured the spatial variability of surface SOC stocks </w:t>
      </w:r>
      <w:r>
        <w:rPr>
          <w:rFonts w:eastAsia="SimSun"/>
          <w:bCs/>
          <w:sz w:val="24"/>
          <w:szCs w:val="24"/>
        </w:rPr>
        <w:t xml:space="preserve">with </w:t>
      </w:r>
      <w:r w:rsidRPr="00C1362F">
        <w:rPr>
          <w:rFonts w:eastAsia="SimSun"/>
          <w:bCs/>
          <w:sz w:val="24"/>
          <w:szCs w:val="24"/>
        </w:rPr>
        <w:t>R</w:t>
      </w:r>
      <w:r w:rsidRPr="00C1362F">
        <w:rPr>
          <w:rFonts w:eastAsia="SimSun"/>
          <w:bCs/>
          <w:sz w:val="24"/>
          <w:szCs w:val="24"/>
          <w:vertAlign w:val="superscript"/>
        </w:rPr>
        <w:t>2</w:t>
      </w:r>
      <w:r w:rsidRPr="00C1362F">
        <w:rPr>
          <w:rFonts w:eastAsia="SimSun"/>
          <w:bCs/>
          <w:sz w:val="24"/>
          <w:szCs w:val="24"/>
        </w:rPr>
        <w:t xml:space="preserve"> = 0.6 when validated against SOC measurements across 13 NEON sites. </w:t>
      </w:r>
      <w:r>
        <w:rPr>
          <w:rFonts w:eastAsia="SimSun"/>
          <w:bCs/>
          <w:sz w:val="24"/>
          <w:szCs w:val="24"/>
        </w:rPr>
        <w:t>Our</w:t>
      </w:r>
      <w:r w:rsidRPr="00C1362F">
        <w:rPr>
          <w:rFonts w:eastAsia="SimSun"/>
          <w:bCs/>
          <w:sz w:val="24"/>
          <w:szCs w:val="24"/>
        </w:rPr>
        <w:t xml:space="preserve"> RCTM </w:t>
      </w:r>
      <w:r>
        <w:rPr>
          <w:rFonts w:eastAsia="SimSun"/>
          <w:bCs/>
          <w:sz w:val="24"/>
          <w:szCs w:val="24"/>
        </w:rPr>
        <w:t>simulations indicated</w:t>
      </w:r>
      <w:r w:rsidRPr="00C1362F">
        <w:rPr>
          <w:rFonts w:eastAsia="SimSun"/>
          <w:bCs/>
          <w:sz w:val="24"/>
          <w:szCs w:val="24"/>
        </w:rPr>
        <w:t xml:space="preserve"> slightly enhanced SOC stocks during the past decade</w:t>
      </w:r>
      <w:r>
        <w:rPr>
          <w:rFonts w:eastAsia="SimSun"/>
          <w:bCs/>
          <w:sz w:val="24"/>
          <w:szCs w:val="24"/>
        </w:rPr>
        <w:t>, which is mainly</w:t>
      </w:r>
      <w:r w:rsidRPr="00C1362F">
        <w:rPr>
          <w:rFonts w:eastAsia="SimSun"/>
          <w:bCs/>
          <w:sz w:val="24"/>
          <w:szCs w:val="24"/>
        </w:rPr>
        <w:t xml:space="preserve"> driven by an increase in precipitation. Regression analysis identified slope, soil texture, and climate factors </w:t>
      </w:r>
      <w:r>
        <w:rPr>
          <w:rFonts w:eastAsia="SimSun"/>
          <w:bCs/>
          <w:sz w:val="24"/>
          <w:szCs w:val="24"/>
        </w:rPr>
        <w:t>as</w:t>
      </w:r>
      <w:r w:rsidRPr="00C1362F">
        <w:rPr>
          <w:rFonts w:eastAsia="SimSun"/>
          <w:bCs/>
          <w:sz w:val="24"/>
          <w:szCs w:val="24"/>
        </w:rPr>
        <w:t xml:space="preserve"> the main control</w:t>
      </w:r>
      <w:r>
        <w:rPr>
          <w:rFonts w:eastAsia="SimSun"/>
          <w:bCs/>
          <w:sz w:val="24"/>
          <w:szCs w:val="24"/>
        </w:rPr>
        <w:t>s</w:t>
      </w:r>
      <w:r w:rsidRPr="00C1362F">
        <w:rPr>
          <w:rFonts w:eastAsia="SimSun"/>
          <w:bCs/>
          <w:sz w:val="24"/>
          <w:szCs w:val="24"/>
        </w:rPr>
        <w:t xml:space="preserve"> </w:t>
      </w:r>
      <w:r>
        <w:rPr>
          <w:rFonts w:eastAsia="SimSun"/>
          <w:bCs/>
          <w:sz w:val="24"/>
          <w:szCs w:val="24"/>
        </w:rPr>
        <w:t>on</w:t>
      </w:r>
      <w:r w:rsidRPr="00C1362F">
        <w:rPr>
          <w:rFonts w:eastAsia="SimSun"/>
          <w:bCs/>
          <w:sz w:val="24"/>
          <w:szCs w:val="24"/>
        </w:rPr>
        <w:t xml:space="preserve"> model-predicted C sequestration rate. Future </w:t>
      </w:r>
      <w:r>
        <w:rPr>
          <w:rFonts w:eastAsia="SimSun"/>
          <w:bCs/>
          <w:sz w:val="24"/>
          <w:szCs w:val="24"/>
        </w:rPr>
        <w:t>efforts to refine the</w:t>
      </w:r>
      <w:r w:rsidRPr="00C1362F">
        <w:rPr>
          <w:rFonts w:eastAsia="SimSun"/>
          <w:bCs/>
          <w:sz w:val="24"/>
          <w:szCs w:val="24"/>
        </w:rPr>
        <w:t xml:space="preserve"> RCTM system will benefit from </w:t>
      </w:r>
      <w:r>
        <w:rPr>
          <w:rFonts w:eastAsia="SimSun"/>
          <w:bCs/>
          <w:sz w:val="24"/>
          <w:szCs w:val="24"/>
        </w:rPr>
        <w:t>long-term</w:t>
      </w:r>
      <w:r w:rsidRPr="00C1362F">
        <w:rPr>
          <w:rFonts w:eastAsia="SimSun"/>
          <w:bCs/>
          <w:sz w:val="24"/>
          <w:szCs w:val="24"/>
        </w:rPr>
        <w:t xml:space="preserve"> network-based</w:t>
      </w:r>
      <w:r>
        <w:rPr>
          <w:rFonts w:eastAsia="SimSun"/>
          <w:bCs/>
          <w:sz w:val="24"/>
          <w:szCs w:val="24"/>
        </w:rPr>
        <w:t xml:space="preserve"> monitoring</w:t>
      </w:r>
      <w:r w:rsidRPr="00C1362F">
        <w:rPr>
          <w:rFonts w:eastAsia="SimSun"/>
          <w:bCs/>
          <w:sz w:val="24"/>
          <w:szCs w:val="24"/>
        </w:rPr>
        <w:t xml:space="preserve"> of rangeland</w:t>
      </w:r>
      <w:r>
        <w:rPr>
          <w:rFonts w:eastAsia="SimSun"/>
          <w:bCs/>
          <w:sz w:val="24"/>
          <w:szCs w:val="24"/>
        </w:rPr>
        <w:t xml:space="preserve"> vegetation biomass, C fluxes, and SOC stocks</w:t>
      </w:r>
      <w:r w:rsidRPr="00C1362F">
        <w:rPr>
          <w:rFonts w:eastAsia="SimSun"/>
          <w:bCs/>
          <w:sz w:val="24"/>
          <w:szCs w:val="24"/>
        </w:rPr>
        <w:t>.</w:t>
      </w:r>
    </w:p>
    <w:p w14:paraId="69A5DBFD" w14:textId="5331CD54" w:rsidR="00FC3EAC" w:rsidRPr="00FC3EAC" w:rsidRDefault="00FC3EAC" w:rsidP="00DE3F91">
      <w:pPr>
        <w:pStyle w:val="Abstract"/>
        <w:rPr>
          <w:b/>
        </w:rPr>
      </w:pPr>
      <w:r w:rsidRPr="00FC3EAC">
        <w:rPr>
          <w:b/>
        </w:rPr>
        <w:t>Plain Language Summary</w:t>
      </w:r>
    </w:p>
    <w:p w14:paraId="3C7ABBE4" w14:textId="76E3B7EF" w:rsidR="00F97AF7" w:rsidRDefault="00F97AF7" w:rsidP="00400029">
      <w:pPr>
        <w:pStyle w:val="Abstract"/>
        <w:jc w:val="both"/>
        <w:rPr>
          <w:rFonts w:eastAsia="SimSun"/>
          <w:bCs/>
        </w:rPr>
      </w:pPr>
      <w:r w:rsidRPr="00C1362F">
        <w:rPr>
          <w:rFonts w:eastAsia="SimSun"/>
          <w:bCs/>
          <w:szCs w:val="28"/>
        </w:rPr>
        <w:t>R</w:t>
      </w:r>
      <w:r w:rsidRPr="00C1362F">
        <w:rPr>
          <w:rFonts w:eastAsia="SimSun"/>
          <w:bCs/>
        </w:rPr>
        <w:t xml:space="preserve">angelands play a crucial role in providing various ecosystem services, including the potentially significant but highly uncertain benefits associated with climate mitigation through increased SOC storage. </w:t>
      </w:r>
      <w:r>
        <w:rPr>
          <w:rFonts w:eastAsia="SimSun"/>
          <w:bCs/>
        </w:rPr>
        <w:t>Accurate estimates</w:t>
      </w:r>
      <w:r w:rsidRPr="00C1362F">
        <w:rPr>
          <w:rFonts w:eastAsia="SimSun"/>
          <w:bCs/>
        </w:rPr>
        <w:t xml:space="preserve"> of long-term C</w:t>
      </w:r>
      <w:r>
        <w:rPr>
          <w:rFonts w:eastAsia="SimSun"/>
          <w:bCs/>
        </w:rPr>
        <w:t xml:space="preserve"> </w:t>
      </w:r>
      <w:r w:rsidRPr="00C1362F">
        <w:rPr>
          <w:rFonts w:eastAsia="SimSun"/>
          <w:bCs/>
        </w:rPr>
        <w:t>storage and changes are challenged</w:t>
      </w:r>
      <w:r>
        <w:rPr>
          <w:rFonts w:eastAsia="SimSun"/>
          <w:bCs/>
        </w:rPr>
        <w:t>,</w:t>
      </w:r>
      <w:r w:rsidRPr="00C1362F">
        <w:rPr>
          <w:rFonts w:eastAsia="SimSun"/>
          <w:bCs/>
        </w:rPr>
        <w:t xml:space="preserve"> however</w:t>
      </w:r>
      <w:r>
        <w:rPr>
          <w:rFonts w:eastAsia="SimSun"/>
          <w:bCs/>
        </w:rPr>
        <w:t>,</w:t>
      </w:r>
      <w:r w:rsidRPr="00C1362F">
        <w:rPr>
          <w:rFonts w:eastAsia="SimSun"/>
          <w:bCs/>
        </w:rPr>
        <w:t xml:space="preserve"> by the </w:t>
      </w:r>
      <w:r>
        <w:rPr>
          <w:rFonts w:eastAsia="SimSun"/>
          <w:bCs/>
        </w:rPr>
        <w:t>diversity</w:t>
      </w:r>
      <w:r w:rsidRPr="00C1362F">
        <w:rPr>
          <w:rFonts w:eastAsia="SimSun"/>
          <w:bCs/>
        </w:rPr>
        <w:t xml:space="preserve"> in rangelands and limited field observations currently available. In this work, we leveraged multiple publicly available datasets, including remote sensing observations, tower-based </w:t>
      </w:r>
      <w:r>
        <w:rPr>
          <w:rFonts w:eastAsia="SimSun"/>
          <w:bCs/>
        </w:rPr>
        <w:t xml:space="preserve">carbon flux </w:t>
      </w:r>
      <w:r w:rsidRPr="00C1362F">
        <w:rPr>
          <w:rFonts w:eastAsia="SimSun"/>
          <w:bCs/>
        </w:rPr>
        <w:t xml:space="preserve">measurements from over 60 rangeland sites in the Western and Midwestern U.S., and </w:t>
      </w:r>
      <w:r>
        <w:rPr>
          <w:rFonts w:eastAsia="SimSun"/>
          <w:bCs/>
        </w:rPr>
        <w:t xml:space="preserve">other </w:t>
      </w:r>
      <w:r w:rsidRPr="00C1362F">
        <w:rPr>
          <w:rFonts w:eastAsia="SimSun"/>
          <w:bCs/>
        </w:rPr>
        <w:t xml:space="preserve">environmental datasets, to build </w:t>
      </w:r>
      <w:r>
        <w:rPr>
          <w:rFonts w:eastAsia="SimSun"/>
          <w:bCs/>
        </w:rPr>
        <w:t>the</w:t>
      </w:r>
      <w:r w:rsidRPr="00C1362F">
        <w:rPr>
          <w:rFonts w:eastAsia="SimSun"/>
          <w:bCs/>
        </w:rPr>
        <w:t xml:space="preserve"> process-based Rangeland Carbon Tracking and Monitoring (RCTM) modeling system, for the simulation of 20</w:t>
      </w:r>
      <w:r>
        <w:rPr>
          <w:rFonts w:eastAsia="SimSun"/>
          <w:bCs/>
        </w:rPr>
        <w:t xml:space="preserve"> </w:t>
      </w:r>
      <w:r w:rsidRPr="00C1362F">
        <w:rPr>
          <w:rFonts w:eastAsia="SimSun"/>
          <w:bCs/>
        </w:rPr>
        <w:t>year</w:t>
      </w:r>
      <w:r>
        <w:rPr>
          <w:rFonts w:eastAsia="SimSun"/>
          <w:bCs/>
        </w:rPr>
        <w:t>s of change in</w:t>
      </w:r>
      <w:r w:rsidRPr="00C1362F">
        <w:rPr>
          <w:rFonts w:eastAsia="SimSun"/>
          <w:bCs/>
        </w:rPr>
        <w:t xml:space="preserve"> rangeland C. The regionally calibrated RCTM system </w:t>
      </w:r>
      <w:r>
        <w:rPr>
          <w:rFonts w:eastAsia="SimSun"/>
          <w:bCs/>
        </w:rPr>
        <w:t>performs well</w:t>
      </w:r>
      <w:r w:rsidRPr="00C1362F">
        <w:rPr>
          <w:rFonts w:eastAsia="SimSun"/>
          <w:bCs/>
        </w:rPr>
        <w:t xml:space="preserve"> in estimating spatial and temporal rangeland C fluxes as well as spatial SOC storage. RCTM simulation results revealed increased SOC storage and rangeland productivity that is well </w:t>
      </w:r>
      <w:r>
        <w:rPr>
          <w:rFonts w:eastAsia="SimSun"/>
          <w:bCs/>
        </w:rPr>
        <w:t>represented</w:t>
      </w:r>
      <w:r w:rsidRPr="00C1362F">
        <w:rPr>
          <w:rFonts w:eastAsia="SimSun"/>
          <w:bCs/>
        </w:rPr>
        <w:t xml:space="preserve"> by remote sensing signals and driven by annual precipitation patterns. Since the RCTM system developed by this work can be used to generate accurate spatial and temporal estimates of SOC storage and C fluxes at fine spatial (30</w:t>
      </w:r>
      <w:r>
        <w:rPr>
          <w:rFonts w:eastAsia="SimSun"/>
          <w:bCs/>
        </w:rPr>
        <w:t xml:space="preserve"> </w:t>
      </w:r>
      <w:r w:rsidRPr="00C1362F">
        <w:rPr>
          <w:rFonts w:eastAsia="SimSun"/>
          <w:bCs/>
        </w:rPr>
        <w:t>m) and temporal (every 5 days) resolutions, it will be well-suited for informing rangeland C management strategies and improving broad-scale policy making.</w:t>
      </w:r>
    </w:p>
    <w:p w14:paraId="5EA50710" w14:textId="5E88D90C" w:rsidR="00F97AF7" w:rsidRDefault="00F97AF7" w:rsidP="00F97AF7">
      <w:pPr>
        <w:pStyle w:val="Abstract"/>
        <w:rPr>
          <w:b/>
        </w:rPr>
      </w:pPr>
      <w:r>
        <w:rPr>
          <w:b/>
        </w:rPr>
        <w:t>Abbreviations</w:t>
      </w:r>
    </w:p>
    <w:p w14:paraId="5170F8F0" w14:textId="0E2C43A6" w:rsidR="00400029" w:rsidRDefault="00400029" w:rsidP="00400029">
      <w:pPr>
        <w:pStyle w:val="Abstract"/>
        <w:jc w:val="both"/>
        <w:rPr>
          <w:rFonts w:eastAsia="SimSun"/>
          <w:bCs/>
        </w:rPr>
      </w:pPr>
      <w:r w:rsidRPr="00400029">
        <w:rPr>
          <w:rFonts w:eastAsia="SimSun"/>
          <w:bCs/>
        </w:rPr>
        <w:t xml:space="preserve">C, carbon; DNDC, Denitrification-Decomposition; DSM, digital soil mapping; fPAR, fraction of absorbed photosynthetically active radiation; GEE, Google Earth Engine; GPP, Gross Primary Productivity; L4C, Level 4 Carbon; LOOCV, leave-one-out cross-validation; LUE, light use efficiency; MBE, mean bias error; NDVI, Normalized Difference Vegetation Index; NEE, net ecosystem exchange of carbon dioxide; NEON, National Ecological Observatory Network; NIR, near infrared band; NLCD, National Land Cover Database; NLDAS, North American Land Data Assimilation System; NPP, net primary productivity; PI, principal investigator; QC, quality </w:t>
      </w:r>
      <w:r w:rsidRPr="00400029">
        <w:rPr>
          <w:rFonts w:eastAsia="SimSun"/>
          <w:bCs/>
        </w:rPr>
        <w:lastRenderedPageBreak/>
        <w:t>control; RAP, Rangeland Analysis Platform; RCTM, Rangeland Carbon Tracking and Management; RECO, ecosystem respiration; RMSE, Root Mean Square Error; RothC, Rothamsted Carbon; RS, remote sensing; SMAP, Soil Moisture Active-Passive; SMLR, stepwise multiple linear regression; SOC, soil organic carbon; SOM, soil organic matter; STARFM, Spatial and Temporal Adaptive Reflectance Fusion Model; VPD, vapor pressure deficit.</w:t>
      </w:r>
    </w:p>
    <w:p w14:paraId="1E0B99D7" w14:textId="77777777" w:rsidR="00400029" w:rsidRPr="00F97AF7" w:rsidRDefault="00400029" w:rsidP="00400029">
      <w:pPr>
        <w:pStyle w:val="Abstract"/>
      </w:pPr>
    </w:p>
    <w:p w14:paraId="16752E20" w14:textId="77777777" w:rsidR="002F3B11" w:rsidRPr="00F97AF7" w:rsidRDefault="002F3B11" w:rsidP="00F97AF7">
      <w:pPr>
        <w:pStyle w:val="Heading-Main"/>
        <w:spacing w:before="120" w:after="0"/>
      </w:pPr>
      <w:r w:rsidRPr="00F97AF7">
        <w:t>1 Introduction</w:t>
      </w:r>
    </w:p>
    <w:p w14:paraId="2FD62191" w14:textId="77777777" w:rsidR="00400029" w:rsidRPr="00C1362F" w:rsidRDefault="00400029" w:rsidP="00400029">
      <w:pPr>
        <w:spacing w:before="120"/>
        <w:ind w:firstLine="720"/>
        <w:jc w:val="both"/>
        <w:rPr>
          <w:rFonts w:eastAsia="Arial"/>
          <w:sz w:val="24"/>
        </w:rPr>
      </w:pPr>
      <w:r w:rsidRPr="00C1362F">
        <w:rPr>
          <w:rFonts w:eastAsia="Arial"/>
          <w:sz w:val="24"/>
        </w:rPr>
        <w:t>Rangelands, which include a wide range of landscapes primarily composed of grasses, forbs, and shrubs</w:t>
      </w:r>
      <w:r>
        <w:rPr>
          <w:rFonts w:eastAsia="Arial"/>
          <w:sz w:val="24"/>
        </w:rPr>
        <w:t xml:space="preserve"> that are often grazed or browsed by domestic livestock and/or wild animals</w:t>
      </w:r>
      <w:r w:rsidRPr="00C1362F">
        <w:rPr>
          <w:rFonts w:eastAsia="Arial"/>
          <w:sz w:val="24"/>
        </w:rPr>
        <w:t>, cover more than 30% of the land area</w:t>
      </w:r>
      <w:r>
        <w:rPr>
          <w:rFonts w:eastAsia="Arial"/>
          <w:sz w:val="24"/>
        </w:rPr>
        <w:t xml:space="preserve"> (~ 2.7 million km</w:t>
      </w:r>
      <w:r w:rsidRPr="00950785">
        <w:rPr>
          <w:rFonts w:eastAsia="Arial"/>
          <w:sz w:val="24"/>
          <w:vertAlign w:val="superscript"/>
        </w:rPr>
        <w:t>2</w:t>
      </w:r>
      <w:r>
        <w:rPr>
          <w:rFonts w:eastAsia="Arial"/>
          <w:sz w:val="24"/>
        </w:rPr>
        <w:t>)</w:t>
      </w:r>
      <w:r w:rsidRPr="00C1362F">
        <w:rPr>
          <w:rFonts w:eastAsia="Arial"/>
          <w:sz w:val="24"/>
        </w:rPr>
        <w:t xml:space="preserve"> of the contiguous United States and have a significant global presence (54%) </w:t>
      </w:r>
      <w:r w:rsidRPr="00C1362F">
        <w:rPr>
          <w:rFonts w:eastAsia="Arial"/>
          <w:sz w:val="24"/>
        </w:rPr>
        <w:fldChar w:fldCharType="begin" w:fldLock="1"/>
      </w:r>
      <w:r w:rsidRPr="00C1362F">
        <w:rPr>
          <w:rFonts w:eastAsia="Arial"/>
          <w:sz w:val="24"/>
        </w:rPr>
        <w:instrText>ADDIN CSL_CITATION {"citationItems":[{"id":"ITEM-1","itemData":{"DOI":"10.2111/REM-D-11-00035.1","ISSN":"15507424","abstract":"Rangeland extent is an important factor for evaluating critical indicators of rangeland sustainability. Rangeland areal extent was determined for the coterminous United States in a geospatial framework by evaluating spatially explicit data from the Landscape Fire and Resource Management Planning Tools (LANDFIRE) project describing historic and current vegetative composition, average height, and average cover through the viewpoints of the Natural Resources Inventory (NRI) administered by the Natural Resources Conservation Service and the Forest Inventory and Analysis (FIA) program administered by the US Forest Service. Three types of rangelands were differentiated using the NRI definition encompassing rangelands, afforested rangelands, and transitory rangelands. Limitations in the FIA definition permitted characterization of only two rangeland types: rangeland and rangeland vegetation with a small patch size. These classes were similar to those from the NRI definition but differed in tree canopy cover threshold requirements. Estimated rangeland area resulting from the NRI-and FIA-LANDFIRE models were 268 and 207 Mha, respectively. In addition, the NRI-LANDFIRE model identified 19 Mha of afforested rangelands due principally to encroachment and increased density by species classified as trees belonging to the genera Quercus, Prosopis, and Juniperus. The biggest discrepancies between acreage estimates derived from NRI-and FIA-LANDFIRE models occurred in oak, pinyon-juniper, and mesquite woodlands. The differences in area estimates between the NRI and FIA perspectives demonstrate the need for development of unified, objective methods for determining rangeland extent that can be applied consistently to all rangelands regardless of ownership or jurisdiction. While the models and geospatial information developed here are useful for national-scale estimates of rangeland extent, they are subject to the limitations of the LANDFIRE data products. © Society for Range Management.","author":[{"dropping-particle":"","family":"Reeves","given":"Matthew Clark","non-dropping-particle":"","parse-names":false,"suffix":""},{"dropping-particle":"","family":"Mitchell","given":"John E.","non-dropping-particle":"","parse-names":false,"suffix":""}],"container-title":"Rangeland Ecology and Management","id":"ITEM-1","issue":"6","issued":{"date-parts":[["2011"]]},"page":"585-597","title":"Extent of coterminous US rangelands: Quantifying implications of differing agency perspectives","type":"article-journal","volume":"64"},"uris":["http://www.mendeley.com/documents/?uuid=2a15c058-a544-4e9b-8bc0-b242863ef886"]},{"id":"ITEM-2","itemData":{"DOI":"10.1016/j.isprsjprs.2014.09.002","ISSN":"09242716","abstract":"Global Land Cover (GLC) information is fundamental for environmental change studies, land resource management, sustainable development, and many other societal benefits. Although GLC data exists at spatial resolutions of 300. m and 1000. m, a 30. m resolution mapping approach is now a feasible option for the next generation of GLC products. Since most significant human impacts on the land system can be captured at this scale, a number of researchers are focusing on such products. This paper reports the operational approach used in such a project, which aims to deliver reliable data products.Over 10,000 Landsat-like satellite images are required to cover the entire Earth at 30. m resolution. To derive a GLC map from such a large volume of data necessitates the development of effective, efficient, economic and operational approaches. Automated approaches usually provide higher efficiency and thus more economic solutions, yet existing automated classification has been deemed ineffective because of the low classification accuracy achievable (typically below 65%) at global scale at 30. m resolution. As a result, an approach based on the integration of pixel- and object-based methods with knowledge (POK-based) has been developed. To handle the classification process of 10 land cover types, a split-and-merge strategy was employed, i.e. firstly each class identified in a prioritized sequence and then results are merged together. For the identification of each class, a robust integration of pixel-and object-based classification was developed. To improve the quality of the classification results, a knowledge-based interactive verification procedure was developed with the support of web service technology. The performance of the POK-based approach was tested using eight selected areas with differing landscapes from five different continents. An overall classification accuracy of over 80% was achieved. This indicates that the developed POK-based approach is effective and feasible for operational GLC mapping at 30. m resolution.","author":[{"dropping-particle":"","family":"Chen","given":"Jun","non-dropping-particle":"","parse-names":false,"suffix":""},{"dropping-particle":"","family":"Chen","given":"Jin","non-dropping-particle":"","parse-names":false,"suffix":""},{"dropping-particle":"","family":"Liao","given":"Anping","non-dropping-particle":"","parse-names":false,"suffix":""},{"dropping-particle":"","family":"Cao","given":"Xin","non-dropping-particle":"","parse-names":false,"suffix":""},{"dropping-particle":"","family":"Chen","given":"Lijun","non-dropping-particle":"","parse-names":false,"suffix":""},{"dropping-particle":"","family":"Chen","given":"Xuehong","non-dropping-particle":"","parse-names":false,"suffix":""},{"dropping-particle":"","family":"He","given":"Chaoying","non-dropping-particle":"","parse-names":false,"suffix":""},{"dropping-particle":"","family":"Han","given":"Gang","non-dropping-particle":"","parse-names":false,"suffix":""},{"dropping-particle":"","family":"Peng","given":"Shu","non-dropping-particle":"","parse-names":false,"suffix":""},{"dropping-particle":"","family":"Lu","given":"Miao","non-dropping-particle":"","parse-names":false,"suffix":""},{"dropping-particle":"","family":"Zhang","given":"Weiwei","non-dropping-particle":"","parse-names":false,"suffix":""},{"dropping-particle":"","family":"Tong","given":"Xiaohua","non-dropping-particle":"","parse-names":false,"suffix":""},{"dropping-particle":"","family":"Mills","given":"Jon","non-dropping-particle":"","parse-names":false,"suffix":""}],"container-title":"ISPRS Journal of Photogrammetry and Remote Sensing","id":"ITEM-2","issued":{"date-parts":[["2015"]]},"page":"7-27","title":"Global land cover mapping at 30 m resolution: A POK-based operational approach","type":"article-journal","volume":"103"},"uris":["http://www.mendeley.com/documents/?uuid=658acbb1-e44e-4b95-b7aa-2412aa2b5ecb"]},{"id":"ITEM-3","itemData":{"author":[{"dropping-particle":"","family":"Olson","given":"David M","non-dropping-particle":"","parse-names":false,"suffix":""},{"dropping-particle":"","family":"Eric Dinerstein","given":"","non-dropping-particle":"","parse-names":false,"suffix":""},{"dropping-particle":"","family":"Eric D. Wikramanayake","given":"","non-dropping-particle":"","parse-names":false,"suffix":""},{"dropping-particle":"","family":"Neil D. Burgess","given":"","non-dropping-particle":"","parse-names":false,"suffix":""},{"dropping-particle":"","family":"George V. N. Powell","given":"","non-dropping-particle":"","parse-names":false,"suffix":""},{"dropping-particle":"","family":"Emma C. Underwood","given":"","non-dropping-particle":"","parse-names":false,"suffix":""},{"dropping-particle":"","family":"Jennifer A. D'amico","given":"","non-dropping-particle":"","parse-names":false,"suffix":""},{"dropping-particle":"","family":"Illanga Itoua","given":"","non-dropping-particle":"","parse-names":false,"suffix":""},{"dropping-particle":"","family":"Holly E. Strand","given":"","non-dropping-particle":"","parse-names":false,"suffix":""},{"dropping-particle":"","family":"John C. Morrison","given":"","non-dropping-particle":"","parse-names":false,"suffix":""},{"dropping-particle":"","family":"Colby J. Loucks","given":"","non-dropping-particle":"","parse-names":false,"suffix":""},{"dropping-particle":"","family":"Thomas F. Allnutt","given":"","non-dropping-particle":"","parse-names":false,"suffix":""},{"dropping-particle":"","family":"Taylor H. Ricketts","given":"","non-dropping-particle":"","parse-names":false,"suffix":""},{"dropping-particle":"","family":"Yumiko Kura","given":"","non-dropping-particle":"","parse-names":false,"suffix":""},{"dropping-particle":"","family":"John F. Lamoreux","given":"","non-dropping-particle":"","parse-names":false,"suffix":""},{"dropping-particle":"","family":"Wesley W. Wettengel","given":"","non-dropping-particle":"","parse-names":false,"suffix":""},{"dropping-particle":"","family":"Prashant Hedao","given":"","non-dropping-particle":"","parse-names":false,"suffix":""},{"dropping-particle":"","family":"Kenneth R. Kassem","given":"","non-dropping-particle":"","parse-names":false,"suffix":""}],"container-title":"BioScience","id":"ITEM-3","issue":"11","issued":{"date-parts":[["2001"]]},"page":"933-938","title":"Terrestrial Ecoregions of the World: A New Map of Life on Earth","type":"article-journal","volume":"51"},"uris":["http://www.mendeley.com/documents/?uuid=687b5b56-11aa-47d0-8ff0-8f00f2693ef3"]}],"mendeley":{"formattedCitation":"(Chen et al., 2015; Olson et al., 2001; Reeves &amp; Mitchell, 2011)","plainTextFormattedCitation":"(Chen et al., 2015; Olson et al., 2001; Reeves &amp; Mitchell, 2011)","previouslyFormattedCitation":"(Chen et al., 2015; Olson et al., 2001; Reeves &amp; Mitchell, 2011)"},"properties":{"noteIndex":0},"schema":"https://github.com/citation-style-language/schema/raw/master/csl-citation.json"}</w:instrText>
      </w:r>
      <w:r w:rsidRPr="00C1362F">
        <w:rPr>
          <w:rFonts w:eastAsia="Arial"/>
          <w:sz w:val="24"/>
        </w:rPr>
        <w:fldChar w:fldCharType="separate"/>
      </w:r>
      <w:r w:rsidRPr="00C1362F">
        <w:rPr>
          <w:rFonts w:eastAsia="Arial"/>
          <w:noProof/>
          <w:sz w:val="24"/>
        </w:rPr>
        <w:t>(Chen et al., 2015; Olson et al., 2001; Reeves &amp; Mitchell, 2011)</w:t>
      </w:r>
      <w:r w:rsidRPr="00C1362F">
        <w:rPr>
          <w:rFonts w:eastAsia="Arial"/>
          <w:sz w:val="24"/>
        </w:rPr>
        <w:fldChar w:fldCharType="end"/>
      </w:r>
      <w:r w:rsidRPr="00C1362F">
        <w:rPr>
          <w:rFonts w:eastAsia="Arial"/>
          <w:sz w:val="24"/>
        </w:rPr>
        <w:t xml:space="preserve">. It has been well </w:t>
      </w:r>
      <w:r>
        <w:rPr>
          <w:rFonts w:eastAsia="Arial"/>
          <w:sz w:val="24"/>
        </w:rPr>
        <w:t>established</w:t>
      </w:r>
      <w:r w:rsidRPr="00C1362F">
        <w:rPr>
          <w:rFonts w:eastAsia="Arial"/>
          <w:sz w:val="24"/>
        </w:rPr>
        <w:t xml:space="preserve"> that rangelands provide many crucial ecosystem services, including habitat biodiversity, forage production, water retention, nutrient cycling, and carbon (C) sequestration and storage </w:t>
      </w:r>
      <w:r w:rsidRPr="00C1362F">
        <w:rPr>
          <w:rFonts w:eastAsia="Arial"/>
          <w:sz w:val="24"/>
        </w:rPr>
        <w:fldChar w:fldCharType="begin" w:fldLock="1"/>
      </w:r>
      <w:r w:rsidRPr="00C1362F">
        <w:rPr>
          <w:rFonts w:eastAsia="Arial"/>
          <w:sz w:val="24"/>
        </w:rPr>
        <w:instrText>ADDIN CSL_CITATION {"citationItems":[{"id":"ITEM-1","itemData":{"DOI":"10.1093/tas/txab054","ISSN":"25732102","abstract":"Beef cattle ranching and farming is a major agricultural industry in the United States that manages an estimated 147 million ha of private land and uses approximately 92% of forage authorized for grazing on federal rangelands. Rangelands, as working landscapes, sustain beef cattle ranching while providing habitat for wildlife, recreation, and open space amenities, as well as spiritual and cultural values that define a way of life. Historically, discussions regarding the economics of beef cattle ranching have focused primarily on the value of beef production but have more recently expanded to consider related ecosystem services. A systematic search of peer-reviewed literature published between 1998 and 2018 found 154 articles that considered ecosystem services from rangelands/grasslands. Of these, only two articles (1%) provided an in-depth economic valuation (monetary measure) of ecosystem services in the United States. To fill this knowledge gap, we primarily used publicly available data to conduct an economic valuation of major ecosystem services associated with beef cattle production in the United States at both the national and state levels. We find that over 186 million ha were actively grazed by beef cattle ranches and farms in the United States in 2017. We estimate the economic value of this land use to be $17.5 billion for wildlife recreation, $3.8 billion for forage production, and $3.2 billion for other ecosystem services related to the conservation of biodiversity-a combined total of $24.5 billion. Ecosystem services from federal rangelands in 16 western states accounted for 35% of the total value. Ecosystem services per beef cow and per kilogram of retail beef were estimated to be $1,043.35 and $2.74, respectively. More studies like these are needed to inform decision-makers at the industry, land management, and federal levels to ensure that the conservation, improvement, and restoration of these ecosystem services are considered in future management and research efforts.","author":[{"dropping-particle":"","family":"Maher","given":"Anna T.","non-dropping-particle":"","parse-names":false,"suffix":""},{"dropping-particle":"","family":"Ashwell","given":"Nicolas E.Quintana","non-dropping-particle":"","parse-names":false,"suffix":""},{"dropping-particle":"","family":"MacZko","given":"Kristie A.","non-dropping-particle":"","parse-names":false,"suffix":""},{"dropping-particle":"","family":"Taylor","given":"David T.","non-dropping-particle":"","parse-names":false,"suffix":""},{"dropping-particle":"","family":"Tanaka","given":"John A.","non-dropping-particle":"","parse-names":false,"suffix":""},{"dropping-particle":"","family":"Reeves","given":"Matt C.","non-dropping-particle":"","parse-names":false,"suffix":""}],"container-title":"Translational Animal Science","id":"ITEM-1","issue":"3","issued":{"date-parts":[["2021"]]},"page":"1-15","title":"An economic valuation of federal and private grazing land ecosystem services supported by beef cattle ranching in the United States","type":"article-journal","volume":"5"},"uris":["http://www.mendeley.com/documents/?uuid=9fb7bac3-e9ab-46da-9794-6ef991e7d4cb"]},{"id":"ITEM-2","itemData":{"DOI":"10.1016/j.geodrs.2021.e00479","ISSN":"23520094","abstract":"Grasslands occupy 70% of whole agricultural land and hold significant amounts of carbon, a key element in the regulation of Earth's soils fertility, biomass production and climate. Previous work has shown that carbon stocks of grassland soils have been largely depleted worldwide due to missuse or mismanagement but that shifts in management could also potentially increase soil carbon stocks and mitigate against the degradation of natural ecosystems. However, the existing literature points to large discrepancies in the impact of grassland management practices on soil carbon, which the present study investigated. Here we considered 235 experimental sites in 18 countries across the world where shifts in grassland management involved different grazing strategies (free, F vs controlled, C; high, H vs low, L density grazers), grazers exclusion (E), mowing (M) and burning (B). The best performing practice was controlled grazing with high density of grazers (CHG) with an average soil organic carbon content (SOCC) increase of 21% and with 100% of the studies pointing to a SOCC increase. This was followed by E (14.9%; 60%) and FLG (13.3%; 80%). On average, burning grasslands, decreases SOCC by 9.3% but 31% of the studies pointed to an increase, thus indicating discrepancies in the impact of grassland management. CLG and mowing did not significantly impact SOCC. These results also indicated that B decreased SOCC the most under moist to humid climates (−10.9% vs −1.7% under arid to semi-arid), while that E was only beneficial in arid to semi-arid grasslands. Adoption of rotational high-intensity grazing in place of free grazing grasslands, should be seriously considered by policy and decision makers to mitigate against climate change while fostering economic and social development.","author":[{"dropping-particle":"","family":"Phukubye","given":"K.","non-dropping-particle":"","parse-names":false,"suffix":""},{"dropping-particle":"","family":"Mutema","given":"M.","non-dropping-particle":"","parse-names":false,"suffix":""},{"dropping-particle":"","family":"Buthelezi","given":"N.","non-dropping-particle":"","parse-names":false,"suffix":""},{"dropping-particle":"","family":"Muchaonyerwa","given":"P.","non-dropping-particle":"","parse-names":false,"suffix":""},{"dropping-particle":"","family":"Cerri","given":"C.","non-dropping-particle":"","parse-names":false,"suffix":""},{"dropping-particle":"","family":"Chaplot","given":"V.","non-dropping-particle":"","parse-names":false,"suffix":""}],"container-title":"Geoderma Regional","id":"ITEM-2","issued":{"date-parts":[["2022"]]},"page":"e00479","title":"On the impact of grassland management on soil carbon stocks: a worldwide meta-analysis","type":"article-journal","volume":"28"},"uris":["http://www.mendeley.com/documents/?uuid=9453de26-14b6-4521-86d3-afc14f6217cc"]},{"id":"ITEM-3","itemData":{"DOI":"10.1002/ldr.4967","ISSN":"1085-3278","abstract":"Rangelands have the potential to be provisioners of ecosystem services, including livestock products, carbon storage and greenhouse gas regulation, water and nutrient cycling, wildlife habitat, and biodiversity. Due to their vast extent and landscape heterogeneity, the degree to which different ecological components of rangelands contribute to ecosystem services can be varied. Soils are the foundation of rangeland health and associated ecosystem services. While many studies have examined the effect of grazing intensity on rangeland ecosystem services, few studies have looked at the broader rangeland landscape and how managing varying vegetation types can influence soil‐based ecosystem services. In this study, a suite of physical, chemical, and biological soil health indicators were measured in various vegetation types found within a working cattle ranch, including coastal live oak woodlands, coastal scrublands, annual grassland, and restored native perennial grassland. Based on the measured soil health indicators, results from this study show scrubland significantly diverges from other vegetation types, having higher water infiltration and plant available water, carbon stocks, and a more diverse microbial community that drives more dynamic cycling of carbon and nitrogen. Strategically maintaining scrubland on unproductive, highly erosive slopes downgradient of highly productive grassland areas could maintain forage production while protecting water quality and increasing carbon storage. These results highlight the relevance of holistically evaluating rangeland operations to assess soil function and ecosystem services and the potential risks and co‐benefits of varying vegetation types. Ultimately, process‐based linkages described here may provide a working example of how to manage ranches as functional mosaics of strategically maintained vegetation types.","author":[{"dropping-particle":"","family":"Waterhouse","given":"Hannah","non-dropping-particle":"","parse-names":false,"suffix":""},{"dropping-particle":"","family":"Aburto","given":"Felipe","non-dropping-particle":"","parse-names":false,"suffix":""},{"dropping-particle":"","family":"Rees","given":"Gordon","non-dropping-particle":"","parse-names":false,"suffix":""},{"dropping-particle":"","family":"Griffin‐LaHue","given":"Deirdre E.","non-dropping-particle":"","parse-names":false,"suffix":""},{"dropping-particle":"","family":"Salls","given":"Wilson B.","non-dropping-particle":"","parse-names":false,"suffix":""},{"dropping-particle":"","family":"Rippner","given":"Devin A.","non-dropping-particle":"","parse-names":false,"suffix":""},{"dropping-particle":"","family":"Tian","given":"Zhiyuan","non-dropping-particle":"","parse-names":false,"suffix":""},{"dropping-particle":"","family":"Scow","given":"Kate","non-dropping-particle":"","parse-names":false,"suffix":""},{"dropping-particle":"","family":"O'Geen","given":"Anthony T.","non-dropping-particle":"","parse-names":false,"suffix":""}],"container-title":"Land Degradation &amp; Development","id":"ITEM-3","issued":{"date-parts":[["2023","11","16"]]},"title":"Diversified vegetation types on rangelands promote multiple soil‐based ecosystem services","type":"article-journal"},"uris":["http://www.mendeley.com/documents/?uuid=cae6ec3a-73d3-4649-9b65-3a2fa9ba0b6e"]}],"mendeley":{"formattedCitation":"(Maher et al., 2021; Phukubye et al., 2022; Waterhouse et al., 2023)","plainTextFormattedCitation":"(Maher et al., 2021; Phukubye et al., 2022; Waterhouse et al., 2023)","previouslyFormattedCitation":"(Maher et al., 2021; Phukubye et al., 2022; Waterhouse et al., 2023)"},"properties":{"noteIndex":0},"schema":"https://github.com/citation-style-language/schema/raw/master/csl-citation.json"}</w:instrText>
      </w:r>
      <w:r w:rsidRPr="00C1362F">
        <w:rPr>
          <w:rFonts w:eastAsia="Arial"/>
          <w:sz w:val="24"/>
        </w:rPr>
        <w:fldChar w:fldCharType="separate"/>
      </w:r>
      <w:r w:rsidRPr="00C1362F">
        <w:rPr>
          <w:rFonts w:eastAsia="Arial"/>
          <w:noProof/>
          <w:sz w:val="24"/>
        </w:rPr>
        <w:t>(Maher et al., 2021; Phukubye et al., 2022; Waterhouse et al., 2023)</w:t>
      </w:r>
      <w:r w:rsidRPr="00C1362F">
        <w:rPr>
          <w:rFonts w:eastAsia="Arial"/>
          <w:sz w:val="24"/>
        </w:rPr>
        <w:fldChar w:fldCharType="end"/>
      </w:r>
      <w:r w:rsidRPr="00C1362F">
        <w:rPr>
          <w:rFonts w:eastAsia="Arial"/>
          <w:sz w:val="24"/>
        </w:rPr>
        <w:t xml:space="preserve">. </w:t>
      </w:r>
      <w:r>
        <w:rPr>
          <w:rFonts w:eastAsia="Arial"/>
          <w:sz w:val="24"/>
        </w:rPr>
        <w:t>Unfortunately, grassland conversion to cropland and improper management (e.g., overgrazing) have historically contributed to land</w:t>
      </w:r>
      <w:r w:rsidRPr="00995251">
        <w:rPr>
          <w:rFonts w:eastAsia="Arial"/>
          <w:sz w:val="24"/>
        </w:rPr>
        <w:t xml:space="preserve"> degradation</w:t>
      </w:r>
      <w:r>
        <w:rPr>
          <w:rFonts w:eastAsia="Arial"/>
          <w:sz w:val="24"/>
        </w:rPr>
        <w:t xml:space="preserve"> and C loss</w:t>
      </w:r>
      <w:r w:rsidRPr="00995251">
        <w:rPr>
          <w:rFonts w:eastAsia="Arial"/>
          <w:sz w:val="24"/>
        </w:rPr>
        <w:t xml:space="preserve"> </w:t>
      </w:r>
      <w:r>
        <w:rPr>
          <w:rFonts w:eastAsia="Arial"/>
          <w:sz w:val="24"/>
        </w:rPr>
        <w:t>in</w:t>
      </w:r>
      <w:r w:rsidRPr="00995251">
        <w:rPr>
          <w:rFonts w:eastAsia="Arial"/>
          <w:sz w:val="24"/>
        </w:rPr>
        <w:t xml:space="preserve"> western U</w:t>
      </w:r>
      <w:r>
        <w:rPr>
          <w:rFonts w:eastAsia="Arial"/>
          <w:sz w:val="24"/>
        </w:rPr>
        <w:t>.</w:t>
      </w:r>
      <w:r w:rsidRPr="00995251">
        <w:rPr>
          <w:rFonts w:eastAsia="Arial"/>
          <w:sz w:val="24"/>
        </w:rPr>
        <w:t>S</w:t>
      </w:r>
      <w:r>
        <w:rPr>
          <w:rFonts w:eastAsia="Arial"/>
          <w:sz w:val="24"/>
        </w:rPr>
        <w:t>.</w:t>
      </w:r>
      <w:r w:rsidRPr="00995251">
        <w:rPr>
          <w:rFonts w:eastAsia="Arial"/>
          <w:sz w:val="24"/>
        </w:rPr>
        <w:t xml:space="preserve"> rangelands</w:t>
      </w:r>
      <w:r>
        <w:rPr>
          <w:rFonts w:eastAsia="Arial"/>
          <w:sz w:val="24"/>
        </w:rPr>
        <w:t xml:space="preserve">, which can be further exacerbated by extreme climate events such as droughts </w:t>
      </w:r>
      <w:r>
        <w:rPr>
          <w:rFonts w:eastAsia="Arial"/>
          <w:sz w:val="24"/>
        </w:rPr>
        <w:fldChar w:fldCharType="begin" w:fldLock="1"/>
      </w:r>
      <w:r>
        <w:rPr>
          <w:rFonts w:eastAsia="Arial"/>
          <w:sz w:val="24"/>
        </w:rPr>
        <w:instrText>ADDIN CSL_CITATION {"citationItems":[{"id":"ITEM-1","itemData":{"DOI":"10.3390/su12124942","ISSN":"20711050","abstract":"Accelerated climate change is a global challenge that is increasingly putting pressure on the sustainability of livestock production systems that heavily depend on rangeland ecosystems. Rangeland management practices have low potential to sequester greenhouse gases. However, mismanagement of rangelands and their conversion into ex-urban, urban, and industrial landscapes can significantly exacerbate the climate change process. Under conditions of more droughts, heat waves, and other extreme weather events, management of risks (climate, biological, financial, political) will probably be more important to the sustainability of ranching than capability to expand output of livestock products in response to rising demand due to population growth. Replacing traditional domestic livestock with a combination of highly adapted livestock and game animals valued for both hunting and meat may be the best strategy on many arid rangelands. Eventually, traditional ranching could become financially unsound across large areas if climate change is not adequately addressed. Rangeland policy, management, and research will need to be heavily focused on the climate change problem.","author":[{"dropping-particle":"","family":"Holechek","given":"Jerry L.","non-dropping-particle":"","parse-names":false,"suffix":""},{"dropping-particle":"","family":"Geli","given":"Hatim M.E.","non-dropping-particle":"","parse-names":false,"suffix":""},{"dropping-particle":"","family":"Cibils","given":"Andres F.","non-dropping-particle":"","parse-names":false,"suffix":""},{"dropping-particle":"","family":"Sawalhah","given":"Mohammed N.","non-dropping-particle":"","parse-names":false,"suffix":""}],"container-title":"Sustainability (Switzerland)","id":"ITEM-1","issue":"12","issued":{"date-parts":[["2020"]]},"page":"e4942","title":"Climate change, rangelands, and sustainability of ranching in the Western United States","type":"article-journal","volume":"12"},"uris":["http://www.mendeley.com/documents/?uuid=3816e8eb-222a-4de4-a7fb-efe74cffa6aa"]}],"mendeley":{"formattedCitation":"(Holechek et al., 2020)","plainTextFormattedCitation":"(Holechek et al., 2020)","previouslyFormattedCitation":"(Holechek et al., 2020)"},"properties":{"noteIndex":0},"schema":"https://github.com/citation-style-language/schema/raw/master/csl-citation.json"}</w:instrText>
      </w:r>
      <w:r>
        <w:rPr>
          <w:rFonts w:eastAsia="Arial"/>
          <w:sz w:val="24"/>
        </w:rPr>
        <w:fldChar w:fldCharType="separate"/>
      </w:r>
      <w:r w:rsidRPr="009D048C">
        <w:rPr>
          <w:rFonts w:eastAsia="Arial"/>
          <w:noProof/>
          <w:sz w:val="24"/>
        </w:rPr>
        <w:t>(Holechek et al., 2020)</w:t>
      </w:r>
      <w:r>
        <w:rPr>
          <w:rFonts w:eastAsia="Arial"/>
          <w:sz w:val="24"/>
        </w:rPr>
        <w:fldChar w:fldCharType="end"/>
      </w:r>
      <w:r>
        <w:rPr>
          <w:rFonts w:eastAsia="Arial"/>
          <w:sz w:val="24"/>
        </w:rPr>
        <w:t xml:space="preserve">. </w:t>
      </w:r>
      <w:r w:rsidRPr="00C1362F">
        <w:rPr>
          <w:rFonts w:eastAsia="Arial"/>
          <w:sz w:val="24"/>
        </w:rPr>
        <w:t xml:space="preserve">Restoring degraded rangelands and improving </w:t>
      </w:r>
      <w:r>
        <w:rPr>
          <w:rFonts w:eastAsia="Arial"/>
          <w:sz w:val="24"/>
        </w:rPr>
        <w:t xml:space="preserve">land </w:t>
      </w:r>
      <w:r w:rsidRPr="00C1362F">
        <w:rPr>
          <w:rFonts w:eastAsia="Arial"/>
          <w:sz w:val="24"/>
        </w:rPr>
        <w:t xml:space="preserve">management are </w:t>
      </w:r>
      <w:r>
        <w:rPr>
          <w:rFonts w:eastAsia="Arial"/>
          <w:sz w:val="24"/>
        </w:rPr>
        <w:t>therefore</w:t>
      </w:r>
      <w:r w:rsidRPr="00C1362F">
        <w:rPr>
          <w:rFonts w:eastAsia="Arial"/>
          <w:sz w:val="24"/>
        </w:rPr>
        <w:t xml:space="preserve"> high priority conservation goals </w:t>
      </w:r>
      <w:r>
        <w:rPr>
          <w:rFonts w:eastAsia="Arial"/>
          <w:sz w:val="24"/>
        </w:rPr>
        <w:t>having</w:t>
      </w:r>
      <w:r w:rsidRPr="00C1362F">
        <w:rPr>
          <w:rFonts w:eastAsia="Arial"/>
          <w:sz w:val="24"/>
        </w:rPr>
        <w:t xml:space="preserve"> multiple ecosystem service benefits </w:t>
      </w:r>
      <w:r w:rsidRPr="00C1362F">
        <w:rPr>
          <w:rFonts w:eastAsia="Arial"/>
          <w:sz w:val="24"/>
        </w:rPr>
        <w:fldChar w:fldCharType="begin" w:fldLock="1"/>
      </w:r>
      <w:r w:rsidRPr="00C1362F">
        <w:rPr>
          <w:rFonts w:eastAsia="Arial"/>
          <w:sz w:val="24"/>
        </w:rPr>
        <w:instrText>ADDIN CSL_CITATION {"citationItems":[{"id":"ITEM-1","itemData":{"ISSN":"00063568","abstract":"We determined the relative benefits for eight categories of ecosystem goods and services associated with native and restored lands across the conterminous United States. Less than 10% of most native US ecosystems remain, and the proportion that is restored varies widely by biome. Restored lands offer 31% to 93% of native land benefits within a decade after restoration, with restored wetlands providing the most economic value and deserts providing the least. Restored ecosystems that recover rapidly and produce valuable commodities return a higher proportion of total value. The relative values of the benefits provided by restoration vary both by biome and by the ecosystem goods and services of interest. Our analysis confirms that conservation should be the first priority, but that restoration programs across broad geographic regions can have substantial value. \"No net loss\" policies should recognize that restored lands are not necessarily equivalent to native areas with regard to estimated ecosystem benefits. [ABSTRACT FROM AUTHOR]","author":[{"dropping-particle":"","family":"Wilson","given":"Kymberly C","non-dropping-particle":"","parse-names":false,"suffix":""},{"dropping-particle":"","family":"Rehmeier","given":"Ryan L","non-dropping-particle":"","parse-names":false,"suffix":""},{"dropping-particle":"","family":"Knight","given":"G Layne","non-dropping-particle":"","parse-names":false,"suffix":""},{"dropping-particle":"","family":"Wiggam","given":"Shelly","non-dropping-particle":"","parse-names":false,"suffix":""},{"dropping-particle":"","family":"Falke","given":"Jeffrey A","non-dropping-particle":"","parse-names":false,"suffix":""},{"dropping-particle":"","family":"Dalgleish","given":"Harmony J","non-dropping-particle":"","parse-names":false,"suffix":""},{"dropping-particle":"","family":"Bertrand","given":"Katie N","non-dropping-particle":"","parse-names":false,"suffix":""},{"dropping-particle":"","family":"Dodds","given":"Walter K","non-dropping-particle":"","parse-names":false,"suffix":""}],"container-title":"BioScience","id":"ITEM-1","issue":"9","issued":{"date-parts":[["2008"]]},"page":"837-845","title":"Comparing ecosystem goods and services provided by restored and native lands","type":"article-journal","volume":"58"},"uris":["http://www.mendeley.com/documents/?uuid=63163dc9-1d10-41fd-a021-bce56d5f7580"]}],"mendeley":{"formattedCitation":"(Wilson et al., 2008)","plainTextFormattedCitation":"(Wilson et al., 2008)","previouslyFormattedCitation":"(Wilson et al., 2008)"},"properties":{"noteIndex":0},"schema":"https://github.com/citation-style-language/schema/raw/master/csl-citation.json"}</w:instrText>
      </w:r>
      <w:r w:rsidRPr="00C1362F">
        <w:rPr>
          <w:rFonts w:eastAsia="Arial"/>
          <w:sz w:val="24"/>
        </w:rPr>
        <w:fldChar w:fldCharType="separate"/>
      </w:r>
      <w:r w:rsidRPr="00C1362F">
        <w:rPr>
          <w:rFonts w:eastAsia="Arial"/>
          <w:noProof/>
          <w:sz w:val="24"/>
        </w:rPr>
        <w:t>(Wilson et al., 2008)</w:t>
      </w:r>
      <w:r w:rsidRPr="00C1362F">
        <w:rPr>
          <w:rFonts w:eastAsia="Arial"/>
          <w:sz w:val="24"/>
        </w:rPr>
        <w:fldChar w:fldCharType="end"/>
      </w:r>
      <w:r w:rsidRPr="00C1362F">
        <w:rPr>
          <w:rFonts w:eastAsia="Arial"/>
          <w:sz w:val="24"/>
        </w:rPr>
        <w:t>.</w:t>
      </w:r>
      <w:r w:rsidRPr="00C1362F">
        <w:t xml:space="preserve"> </w:t>
      </w:r>
      <w:r w:rsidRPr="00C1362F">
        <w:rPr>
          <w:rFonts w:eastAsia="Arial"/>
          <w:sz w:val="24"/>
        </w:rPr>
        <w:t xml:space="preserve">Improved rangeland management also holds </w:t>
      </w:r>
      <w:r>
        <w:rPr>
          <w:rFonts w:eastAsia="Arial"/>
          <w:sz w:val="24"/>
        </w:rPr>
        <w:t xml:space="preserve">possibly </w:t>
      </w:r>
      <w:r w:rsidRPr="00C1362F">
        <w:rPr>
          <w:rFonts w:eastAsia="Arial"/>
          <w:sz w:val="24"/>
        </w:rPr>
        <w:t xml:space="preserve">significant but highly uncertain potential for climate mitigation primarily through </w:t>
      </w:r>
      <w:r>
        <w:rPr>
          <w:rFonts w:eastAsia="Arial"/>
          <w:sz w:val="24"/>
        </w:rPr>
        <w:t xml:space="preserve">soil organic carbon (SOC) </w:t>
      </w:r>
      <w:r w:rsidRPr="00C1362F">
        <w:rPr>
          <w:rFonts w:eastAsia="Arial"/>
          <w:sz w:val="24"/>
        </w:rPr>
        <w:t xml:space="preserve">sequestration </w:t>
      </w:r>
      <w:r w:rsidRPr="00C1362F">
        <w:rPr>
          <w:rFonts w:eastAsia="Arial"/>
          <w:sz w:val="24"/>
        </w:rPr>
        <w:fldChar w:fldCharType="begin" w:fldLock="1"/>
      </w:r>
      <w:r w:rsidRPr="00C1362F">
        <w:rPr>
          <w:rFonts w:eastAsia="Arial"/>
          <w:sz w:val="24"/>
        </w:rPr>
        <w:instrText>ADDIN CSL_CITATION {"citationItems":[{"id":"ITEM-1","itemData":{"DOI":"10.1007/s10021-018-0324-3","ISSN":"14350629","abstract":"Considerable uncertainty remains regarding grazing-induced influences on soil organic carbon (SOC) sequestration in semiarid grassland ecosystems due to three important complications associated with studying such effects: (1) Ecologically meaningful shifts in SOC pools attributable to grazing are difficult to detect relative to inherently large grassland SOC pools, (2) a lack of baseline (pre-treatment) data, and (3) frequent lack of or limited replication of long-term grazing manipulations. SOC sequestration rates were determined in 74-year-old grazing exclosures and paired moderately grazed sites, established across a soil texture gradient, in the western North American shortgrass steppe in northeastern Colorado. We sampled soils (0–20 cm) from 12 exclosures and paired grazed sites to measure SOC concentration and soil radiocarbon ∆14C (‰); the latter allowed us to determine turnover of the SOC pool over a 7-decade period in the presence versus the absence of grazing. Removal of grazing for more than 7 decades substantially altered plant community composition but did not affect total soil C, SOC, soil ∆14C, SOC turnover rate, or total soil N. Grazing effect also did not interact with soil texture to influence any of those soil properties. Soil texture (silt + clay content) did influence total soil C and SOC, and total soil N, but not ∆14C or SOC turnover. Results provide evidence that long-term removal of grazing from semiarid grassland ecosystems in the western North American Great Plains does not enhance long-term SOC sequestration, despite changes in the relative dominance of C3 versus C4 grasses.","author":[{"dropping-particle":"","family":"Derner","given":"J. D.","non-dropping-particle":"","parse-names":false,"suffix":""},{"dropping-particle":"","family":"Augustine","given":"D. J.","non-dropping-particle":"","parse-names":false,"suffix":""},{"dropping-particle":"","family":"Frank","given":"D. A.","non-dropping-particle":"","parse-names":false,"suffix":""}],"container-title":"Ecosystems","id":"ITEM-1","issue":"5","issued":{"date-parts":[["2019"]]},"page":"1088-1094","title":"Does grazing matter for soil organic carbon sequestration in the western North American Great Plains?","type":"article-journal","volume":"22"},"uris":["http://www.mendeley.com/documents/?uuid=b2f7115f-e03f-426a-a1a8-cc6c16c1f675"]},{"id":"ITEM-2","itemData":{"abstract":"Limiting climate warming to &lt;2°C requires increased mitigation efforts, including land stewardship, whose potential in the United States is poorly understood. We quantified the potential of natural climate solutions (NCS)—21 conservation, restoration, and improved land management interventions on natural and agricultural lands—to increase carbon storage and avoid greenhouse gas emissions in the United States. We found a maximum potential of 1.2 (0.9 to 1.6) Pg CO2e year−1, the equivalent of 21% of current net annual emissions of the United States. At current carbon market prices (USD 10 per Mg CO2e), 299 Tg CO2e year−1 could be achieved. NCS would also provide air and water filtration, flood control, soil health, wildlife habitat,","author":[{"dropping-particle":"","family":"Fargione","given":"Joseph E.","non-dropping-particle":"","parse-names":false,"suffix":""},{"dropping-particle":"","family":"Boucher","given":"Timothy","non-dropping-particle":"","parse-names":false,"suffix":""},{"dropping-particle":"","family":"Bridgham","given":"Scott D.","non-dropping-particle":"","parse-names":false,"suffix":""},{"dropping-particle":"","family":"Conant","given":"Richard T.","non-dropping-particle":"","parse-names":false,"suffix":""},{"dropping-particle":"","family":"Bassett","given":"Steven","non-dropping-particle":"","parse-names":false,"suffix":""},{"dropping-particle":"","family":"Cook-Patton","given":"Susan C.","non-dropping-particle":"","parse-names":false,"suffix":""},{"dropping-particle":"","family":"Ellis","given":"Peter W.","non-dropping-particle":"","parse-names":false,"suffix":""},{"dropping-particle":"","family":"Falcucci","given":"Alessandra","non-dropping-particle":"","parse-names":false,"suffix":""},{"dropping-particle":"","family":"Fourqurean","given":"James W.","non-dropping-particle":"","parse-names":false,"suffix":""},{"dropping-particle":"","family":"Gopalakrishna","given":"Trisha","non-dropping-particle":"","parse-names":false,"suffix":""},{"dropping-particle":"","family":"Hurteau","given":"Benjamin Henderson Matthew D.","non-dropping-particle":"","parse-names":false,"suffix":""},{"dropping-particle":"","family":"Gu","given":"Huan","non-dropping-particle":"","parse-names":false,"suffix":""},{"dropping-particle":"","family":"Kroeger","given":"Kevin D.","non-dropping-particle":"","parse-names":false,"suffix":""},{"dropping-particle":"","family":"Lark","given":"Tyler J.","non-dropping-particle":"","parse-names":false,"suffix":""},{"dropping-particle":"","family":"Leavitt","given":"Sara M.","non-dropping-particle":"","parse-names":false,"suffix":""},{"dropping-particle":"","family":"Lomax","given":"Guy","non-dropping-particle":"","parse-names":false,"suffix":""},{"dropping-particle":"","family":"Kroeger","given":"Timm","non-dropping-particle":"","parse-names":false,"suffix":""},{"dropping-particle":"","family":"McDonald","given":"Robert I.","non-dropping-particle":"","parse-names":false,"suffix":""},{"dropping-particle":"","family":"Miteva","given":"Daniela A.","non-dropping-particle":"","parse-names":false,"suffix":""},{"dropping-particle":"","family":"Richardson","given":"Curtis J.","non-dropping-particle":"","parse-names":false,"suffix":""},{"dropping-particle":"","family":"Megonigal","given":"J Patrick","non-dropping-particle":"","parse-names":false,"suffix":""},{"dropping-particle":"","family":"Sanderman","given":"Jonathan","non-dropping-particle":"","parse-names":false,"suffix":""},{"dropping-particle":"","family":"Spawn","given":"Seth A.","non-dropping-particle":"","parse-names":false,"suffix":""},{"dropping-particle":"","family":"Veldman","given":"Joseph W.","non-dropping-particle":"","parse-names":false,"suffix":""},{"dropping-particle":"","family":"Shoch","given":"David","non-dropping-particle":"","parse-names":false,"suffix":""},{"dropping-particle":"","family":"Williams","given":"Christopher A.","non-dropping-particle":"","parse-names":false,"suffix":""},{"dropping-particle":"","family":"Zganjar","given":"Chris","non-dropping-particle":"","parse-names":false,"suffix":""},{"dropping-particle":"","family":"Baranski","given":"Marci","non-dropping-particle":"","parse-names":false,"suffix":""},{"dropping-particle":"","family":"Elias","given":"Patricia","non-dropping-particle":"","parse-names":false,"suffix":""},{"dropping-particle":"","family":"Woodbury","given":"Peter B","non-dropping-particle":"","parse-names":false,"suffix":""},{"dropping-particle":"","family":"Houghton","given":"Richard A.","non-dropping-particle":"","parse-names":false,"suffix":""},{"dropping-particle":"","family":"McGlynn","given":"Emily","non-dropping-particle":"","parse-names":false,"suffix":""},{"dropping-particle":"","family":"Schlesinger","given":"William H.","non-dropping-particle":"","parse-names":false,"suffix":""},{"dropping-particle":"","family":"Landis","given":"Emily","non-dropping-particle":"","parse-names":false,"suffix":""},{"dropping-particle":"V.","family":"Siikamaki","given":"Juha","non-dropping-particle":"","parse-names":false,"suffix":""},{"dropping-particle":"","family":"Bronson W. Griscom","given":"Ariana E Sutton-Grier","non-dropping-particle":"","parse-names":false,"suffix":""}],"container-title":"Science Advances","id":"ITEM-2","issue":"eeat1869","issued":{"date-parts":[["2018"]]},"page":"1-14","title":"Natural climate solutions for the United States","type":"article-journal","volume":"4"},"uris":["http://www.mendeley.com/documents/?uuid=1a2928b7-d34e-4421-ad60-fc6be731acc5"]}],"mendeley":{"formattedCitation":"(Derner et al., 2019; Fargione et al., 2018)","manualFormatting":"(Derner et al., 2019; Fargione et al., 2018)","plainTextFormattedCitation":"(Derner et al., 2019; Fargione et al., 2018)","previouslyFormattedCitation":"(Derner et al., 2019; Fargione et al., 2018)"},"properties":{"noteIndex":0},"schema":"https://github.com/citation-style-language/schema/raw/master/csl-citation.json"}</w:instrText>
      </w:r>
      <w:r w:rsidRPr="00C1362F">
        <w:rPr>
          <w:rFonts w:eastAsia="Arial"/>
          <w:sz w:val="24"/>
        </w:rPr>
        <w:fldChar w:fldCharType="separate"/>
      </w:r>
      <w:r w:rsidRPr="00C1362F">
        <w:rPr>
          <w:rFonts w:eastAsia="Arial"/>
          <w:noProof/>
          <w:sz w:val="24"/>
        </w:rPr>
        <w:t>(Derner et al., 2019; Fargione et al., 2018)</w:t>
      </w:r>
      <w:r w:rsidRPr="00C1362F">
        <w:rPr>
          <w:rFonts w:eastAsia="Arial"/>
          <w:sz w:val="24"/>
        </w:rPr>
        <w:fldChar w:fldCharType="end"/>
      </w:r>
      <w:r w:rsidRPr="00C1362F">
        <w:rPr>
          <w:rFonts w:eastAsia="Arial"/>
          <w:sz w:val="24"/>
        </w:rPr>
        <w:t xml:space="preserve">. The uncertainty arises from factors such as extensive </w:t>
      </w:r>
      <w:r>
        <w:rPr>
          <w:rFonts w:eastAsia="Arial"/>
          <w:sz w:val="24"/>
        </w:rPr>
        <w:t>rangeland</w:t>
      </w:r>
      <w:r w:rsidRPr="00C1362F">
        <w:rPr>
          <w:rFonts w:eastAsia="Arial"/>
          <w:sz w:val="24"/>
        </w:rPr>
        <w:t xml:space="preserve"> sizes, limited availability of </w:t>
      </w:r>
      <w:r>
        <w:rPr>
          <w:rFonts w:eastAsia="Arial"/>
          <w:sz w:val="24"/>
        </w:rPr>
        <w:t>in-situ field</w:t>
      </w:r>
      <w:r w:rsidRPr="00C1362F">
        <w:rPr>
          <w:rFonts w:eastAsia="Arial"/>
          <w:sz w:val="24"/>
        </w:rPr>
        <w:t xml:space="preserve"> data, and substantial spatial and temporal variability associated with</w:t>
      </w:r>
      <w:r>
        <w:rPr>
          <w:rFonts w:eastAsia="Arial"/>
          <w:sz w:val="24"/>
        </w:rPr>
        <w:t xml:space="preserve"> drivers of</w:t>
      </w:r>
      <w:r w:rsidRPr="00C1362F">
        <w:rPr>
          <w:rFonts w:eastAsia="Arial"/>
          <w:sz w:val="24"/>
        </w:rPr>
        <w:t xml:space="preserve"> SOC </w:t>
      </w:r>
      <w:r>
        <w:rPr>
          <w:rFonts w:eastAsia="Arial"/>
          <w:sz w:val="24"/>
        </w:rPr>
        <w:t>change</w:t>
      </w:r>
      <w:r w:rsidRPr="00C1362F">
        <w:rPr>
          <w:rFonts w:eastAsia="Arial"/>
          <w:sz w:val="24"/>
        </w:rPr>
        <w:t xml:space="preserve"> (i.e., environmental and management </w:t>
      </w:r>
      <w:r>
        <w:rPr>
          <w:rFonts w:eastAsia="Arial"/>
          <w:sz w:val="24"/>
        </w:rPr>
        <w:t>factors</w:t>
      </w:r>
      <w:r w:rsidRPr="00C1362F">
        <w:rPr>
          <w:rFonts w:eastAsia="Arial"/>
          <w:sz w:val="24"/>
        </w:rPr>
        <w:t>) such as moisture status and temperature, vegetation composition, soil properties</w:t>
      </w:r>
      <w:r>
        <w:rPr>
          <w:rFonts w:eastAsia="Arial"/>
          <w:sz w:val="24"/>
        </w:rPr>
        <w:t>,</w:t>
      </w:r>
      <w:r w:rsidRPr="00C1362F">
        <w:rPr>
          <w:rFonts w:eastAsia="Arial"/>
          <w:sz w:val="24"/>
        </w:rPr>
        <w:t xml:space="preserve"> and grazing </w:t>
      </w:r>
      <w:r>
        <w:rPr>
          <w:rFonts w:eastAsia="Arial"/>
          <w:sz w:val="24"/>
        </w:rPr>
        <w:t xml:space="preserve">timing and </w:t>
      </w:r>
      <w:r w:rsidRPr="00C1362F">
        <w:rPr>
          <w:rFonts w:eastAsia="Arial"/>
          <w:sz w:val="24"/>
        </w:rPr>
        <w:t xml:space="preserve">intensity, </w:t>
      </w:r>
      <w:r w:rsidRPr="00C1362F">
        <w:rPr>
          <w:rFonts w:eastAsia="Arial"/>
          <w:sz w:val="24"/>
        </w:rPr>
        <w:fldChar w:fldCharType="begin" w:fldLock="1"/>
      </w:r>
      <w:r w:rsidRPr="00C1362F">
        <w:rPr>
          <w:rFonts w:eastAsia="Arial"/>
          <w:sz w:val="24"/>
        </w:rPr>
        <w:instrText>ADDIN CSL_CITATION {"citationItems":[{"id":"ITEM-1","itemData":{"DOI":"10.1016/j.gloenvcha.2012.10.001","ISSN":"09593780","abstract":"Scientific interest in carbon sequestration on rangelands is largely driven by their extent, while the interest of ranchers in the United States centers on opportunities to enhance revenue streams. Rangelands cover approximately 30% of the earth's ice-free land surface and hold an equivalent amount of the world's terrestrial carbon. Rangelands are grasslands, shrublands, and savannas and cover 312 million hectares in the United States. On the arid and semi-arid sites typical of rangelands annual fluxes are small and unpredictable over time and space, varying primarily with precipitation, but also with soils and vegetation. There is broad scientific consensus that non-equilibrium ecological models better explain the dynamics of such rangelands than equilibrium models, yet current and proposed carbon sequestration policies and associated grazing management recommendations in the United States often do not incorporate this developing scientific understanding of rangeland dynamics. Carbon uptake on arid and semi-arid rangelands is most often controlled by abiotic factors not easily changed by management of grazing or vegetation. Additionality may be impossible to achieve consistently through management on rangelands near the more xeric end of a rangeland climatic gradient. This point is illustrated by a preliminary examination of efforts to develop voluntary cap and trade markets for carbon credits in the United States, and options including payment for ecosystem services or avoided conversion, and carbon taxation. A preliminary analysis focusing on cap and trade and payment for avoided conversion or ecosystem services illustrates the misalignment between policies targeting vegetation management for enhanced carbon uptake and non-equilibrium carbon dynamics on arid United States rangelands. It is possible that current proposed carbon policy as exemplified by carbon credit exchange or offsets will result in a net increase in emissions, as well as investment in failed management. Rather than focusing on annual fluxes, policy and management initiatives should seek long-term protection of rangelands and rangeland soils to conserve carbon, and a broader range of environmental and social benefits. © 2012 Elsevier Ltd.","author":[{"dropping-particle":"","family":"Booker","given":"Kayje","non-dropping-particle":"","parse-names":false,"suffix":""},{"dropping-particle":"","family":"Huntsinger","given":"Lynn","non-dropping-particle":"","parse-names":false,"suffix":""},{"dropping-particle":"","family":"Bartolome","given":"James W.","non-dropping-particle":"","parse-names":false,"suffix":""},{"dropping-particle":"","family":"Sayre","given":"Nathan F.","non-dropping-particle":"","parse-names":false,"suffix":""},{"dropping-particle":"","family":"Stewart","given":"William","non-dropping-particle":"","parse-names":false,"suffix":""}],"container-title":"Global Environmental Change","id":"ITEM-1","issue":"1","issued":{"date-parts":[["2013"]]},"page":"240-251","title":"What can ecological science tell us about opportunities for carbon sequestration on arid rangelands in the United States?","type":"article-journal","volume":"23"},"uris":["http://www.mendeley.com/documents/?uuid=ad975af9-bb0e-46df-ac01-5825cff44d0c"]},{"id":"ITEM-2","itemData":{"author":[{"dropping-particle":"","family":"Derner","given":"J.D.","non-dropping-particle":"","parse-names":false,"suffix":""},{"dropping-particle":"","family":"Schuman","given":"G.E.","non-dropping-particle":"","parse-names":false,"suffix":""}],"container-title":"Journal of soil and water conservation","id":"ITEM-2","issue":"2","issued":{"date-parts":[["2007"]]},"page":"77-85","title":"Carbon sequestration and rangelands: A synthesis of land management and precipitation effects","type":"article-journal","volume":"62"},"uris":["http://www.mendeley.com/documents/?uuid=367a507f-c362-4e0c-ad41-fda0f8eeeff3"]},{"id":"ITEM-3","itemData":{"DOI":"10.1016/j.envsoft.2005.02.006","ISSN":"13648152","abstract":"This paper uses a scenario analysis system - Range-ASSESS - to examine the potential for gains and losses of soil carbon in the Australian rangelands as affected by grazing and climate. The analysis involves a factorial examination of the effect of stocking rates and all possible 5-year historical climates between 1889 and 1999. The analysis also looks at the sensitivity of results to the method of calculation of safe carrying capacity, and to the thresholds used to calculate grazing and dryness indices that drive transitions in state and transition models. The analysis showed that different vegetation zones produced different responses to changes in stocking depending upon the spatial distribution of dryness index, nature of carbon state and transition model, rules governing transitions, and relative significance of soil carbon. At a stocking density equivalent to 100% of 1997 levels, the soil carbon loss from rangelands was about 400 Mt C in 40% of the 5-year periods using a sensitive growth deviation threshold to determine dryness index. If a less sensitive threshold was used, potential loss was reduced to about 200 Mt C. If the grazing pressure threshold for a grazing index of four is adjusted to a more generous level, then potential losses in the dry periods are substantially reduced. The analysis is intended to be indicative of a likely approximate outcome rather than a quantitative measure of system response. The results indicate that the interpretation of the effect of the drought-grazing pressure interaction on perennial plant survival, and consequent organic carbon input to soils, is a major source of uncertainty and a critical area for more experimental measurement. © 2005 Elsevier Ltd. All rights reserved.","author":[{"dropping-particle":"","family":"Hill","given":"Michael J.","non-dropping-particle":"","parse-names":false,"suffix":""},{"dropping-particle":"","family":"Roxburgh","given":"Stephen H.","non-dropping-particle":"","parse-names":false,"suffix":""},{"dropping-particle":"","family":"McKeon","given":"Greg M.","non-dropping-particle":"","parse-names":false,"suffix":""},{"dropping-particle":"","family":"Carter","given":"John O.","non-dropping-particle":"","parse-names":false,"suffix":""},{"dropping-particle":"","family":"Barrett","given":"Damian J.","non-dropping-particle":"","parse-names":false,"suffix":""}],"container-title":"Environmental Modelling and Software","id":"ITEM-3","issue":"6","issued":{"date-parts":[["2006"]]},"page":"779-801","title":"Analysis of soil carbon outcomes from interaction between climate and grazing pressure in Australian rangelands using Range-ASSESS","type":"article-journal","volume":"21"},"uris":["http://www.mendeley.com/documents/?uuid=f50de70b-2d5c-4ea0-a059-b48088f138e8"]}],"mendeley":{"formattedCitation":"(Booker et al., 2013; Derner &amp; Schuman, 2007; Hill et al., 2006)","plainTextFormattedCitation":"(Booker et al., 2013; Derner &amp; Schuman, 2007; Hill et al., 2006)","previouslyFormattedCitation":"(Booker et al., 2013; Derner &amp; Schuman, 2007; Hill et al., 2006)"},"properties":{"noteIndex":0},"schema":"https://github.com/citation-style-language/schema/raw/master/csl-citation.json"}</w:instrText>
      </w:r>
      <w:r w:rsidRPr="00C1362F">
        <w:rPr>
          <w:rFonts w:eastAsia="Arial"/>
          <w:sz w:val="24"/>
        </w:rPr>
        <w:fldChar w:fldCharType="separate"/>
      </w:r>
      <w:r w:rsidRPr="00C1362F">
        <w:rPr>
          <w:rFonts w:eastAsia="Arial"/>
          <w:noProof/>
          <w:sz w:val="24"/>
        </w:rPr>
        <w:t>(Booker et al., 2013; Derner &amp; Schuman, 2007; Hill et al., 2006)</w:t>
      </w:r>
      <w:r w:rsidRPr="00C1362F">
        <w:rPr>
          <w:rFonts w:eastAsia="Arial"/>
          <w:sz w:val="24"/>
        </w:rPr>
        <w:fldChar w:fldCharType="end"/>
      </w:r>
      <w:r w:rsidRPr="00C1362F">
        <w:rPr>
          <w:rFonts w:eastAsia="Arial"/>
          <w:sz w:val="24"/>
        </w:rPr>
        <w:t xml:space="preserve">. In order to facilitate accurate estimates of rangeland C benefits, it is essential to </w:t>
      </w:r>
      <w:r>
        <w:rPr>
          <w:rFonts w:eastAsia="Arial"/>
          <w:sz w:val="24"/>
        </w:rPr>
        <w:t>develop</w:t>
      </w:r>
      <w:r w:rsidRPr="00C1362F">
        <w:rPr>
          <w:rFonts w:eastAsia="Arial"/>
          <w:sz w:val="24"/>
        </w:rPr>
        <w:t xml:space="preserve"> a data-driven framework that </w:t>
      </w:r>
      <w:r>
        <w:rPr>
          <w:rFonts w:eastAsia="Arial"/>
          <w:sz w:val="24"/>
        </w:rPr>
        <w:t>combines process-based representation</w:t>
      </w:r>
      <w:r w:rsidRPr="00C1362F">
        <w:rPr>
          <w:rFonts w:eastAsia="Arial"/>
          <w:sz w:val="24"/>
        </w:rPr>
        <w:t xml:space="preserve"> of rangeland C dynamics with multi-source</w:t>
      </w:r>
      <w:r>
        <w:rPr>
          <w:rFonts w:eastAsia="Arial"/>
          <w:sz w:val="24"/>
        </w:rPr>
        <w:t>, observation-based</w:t>
      </w:r>
      <w:r w:rsidRPr="00C1362F">
        <w:rPr>
          <w:rFonts w:eastAsia="Arial"/>
          <w:sz w:val="24"/>
        </w:rPr>
        <w:t xml:space="preserve"> </w:t>
      </w:r>
      <w:r>
        <w:rPr>
          <w:rFonts w:eastAsia="Arial"/>
          <w:sz w:val="24"/>
        </w:rPr>
        <w:t xml:space="preserve">environmental </w:t>
      </w:r>
      <w:r w:rsidRPr="00C1362F">
        <w:rPr>
          <w:rFonts w:eastAsia="Arial"/>
          <w:sz w:val="24"/>
        </w:rPr>
        <w:t xml:space="preserve">datasets. </w:t>
      </w:r>
    </w:p>
    <w:p w14:paraId="44D278DD" w14:textId="77777777" w:rsidR="00400029" w:rsidRPr="00C1362F" w:rsidRDefault="00400029" w:rsidP="00400029">
      <w:pPr>
        <w:spacing w:before="120"/>
        <w:ind w:firstLine="720"/>
        <w:jc w:val="both"/>
        <w:rPr>
          <w:rFonts w:eastAsia="Arial"/>
          <w:sz w:val="24"/>
        </w:rPr>
      </w:pPr>
      <w:r>
        <w:rPr>
          <w:rFonts w:eastAsia="Arial"/>
          <w:sz w:val="24"/>
        </w:rPr>
        <w:t>In-situ f</w:t>
      </w:r>
      <w:r w:rsidRPr="00C1362F">
        <w:rPr>
          <w:rFonts w:eastAsia="Arial"/>
          <w:sz w:val="24"/>
        </w:rPr>
        <w:t xml:space="preserve">ield measurements provide crucial observations of rangeland C dynamics. Flux tower </w:t>
      </w:r>
      <w:r>
        <w:rPr>
          <w:rFonts w:eastAsia="Arial"/>
          <w:sz w:val="24"/>
        </w:rPr>
        <w:t>observations</w:t>
      </w:r>
      <w:r w:rsidRPr="00C1362F">
        <w:rPr>
          <w:rFonts w:eastAsia="Arial"/>
          <w:sz w:val="24"/>
        </w:rPr>
        <w:t xml:space="preserve"> </w:t>
      </w:r>
      <w:r>
        <w:rPr>
          <w:rFonts w:eastAsia="Arial"/>
          <w:sz w:val="24"/>
        </w:rPr>
        <w:t>are often used</w:t>
      </w:r>
      <w:r w:rsidRPr="00C1362F">
        <w:rPr>
          <w:rFonts w:eastAsia="Arial"/>
          <w:sz w:val="24"/>
        </w:rPr>
        <w:t xml:space="preserve"> to quantify net ecosystem exchange (NEE), which represents C fluxes between land and atmosphere that can be further partitioned into gross primary productivity (GPP) and ecosystem respiration (RECO) </w:t>
      </w:r>
      <w:r w:rsidRPr="00C1362F">
        <w:rPr>
          <w:rFonts w:eastAsia="Arial"/>
          <w:sz w:val="24"/>
        </w:rPr>
        <w:fldChar w:fldCharType="begin" w:fldLock="1"/>
      </w:r>
      <w:r w:rsidRPr="00C1362F">
        <w:rPr>
          <w:rFonts w:eastAsia="Arial"/>
          <w:sz w:val="24"/>
        </w:rPr>
        <w:instrText>ADDIN CSL_CITATION {"citationItems":[{"id":"ITEM-1","itemData":{"DOI":"10.1111/gec3.12009","ISSN":"17498198","abstract":"After more than a century of theoretical development and more recent advances in instrumentation, modern observational micrometeorology includes a global network of long-term continuous measurement sites (FLUXNET). Each site uses eddy covariance methods to monitor terrestrial ecosystem-atmosphere exchanges of CO2, water vapor, momentum and heat. Currently FLUXNET includes more than 500 sites, covering all major plant functional types and climates. However, there is a strong spatial bias toward northern hemisphere mid-latitude locations, particularly Europe, North America and East Asia. Tropical ecosystems are particularly poorly represented, despite playing important roles in carbon and water cycles. Synthesis of FLUXNET data shows terrestrial ecosystems in general provide a weak sink of atmospheric CO2 at the annual timescale, but with large spatial and temporal variability, ranging from strong sinks to strong sources. The net ecosystem exchange of CO2 (NEE) that is measured at FLUXNET sites is driven by two much larger opposing CO2 exchange processes, ecosystem photosynthesis and respiration, which tend to co-vary in strength yet are sensitive to separate environmental drivers. Therefore, NEE is not explained well spatially by plant functional type or climate regime and is sensitive to inter-annual climate variability, especially seasonal rainfall, pests or human management approaches. FLUXNET data has been widely used in development of remote sensing, surface-vegetation-atmosphere transfer models and inversion models. These in general capture seasonal cycles and annual budgets quite well, but are weaker at explaining spatial and interannual variability and susceptible to inaccuracies in simulated inputs such as precipitation. Although research has focused primarily on ecosystem functioning and carbon cycling, hydrologic aspects of micrometeorology have received considerable attention and several studies have investigated the surface energy balance and its lack of closure among FLUXNET sites. The contribution of thousands of rigorous experimentalists and the collaborative vision of FLUXNET, despite its relative youth, has already produced significant advances in micrometeorology and ecosystem sciences. Future growth of FLUXNET sites in geographically under-represented areas will make a more complete understanding of terrestrial ecosystems. Meantime, there are many geographic questions ripe for assessment using existing FLUXNET datasets which will, in …","author":[{"dropping-particle":"","family":"Oliphant","given":"Andrew J.","non-dropping-particle":"","parse-names":false,"suffix":""}],"container-title":"Geography Compass","id":"ITEM-1","issue":"12","issued":{"date-parts":[["2012"]]},"page":"689-705","title":"Terrestrial ecosystem-atmosphere exchange of CO&lt;sub&gt;2&lt;/sub&gt;, water and energy from FLUXNET: Review and meta-analysis of a global in-situ observatory","type":"article-journal","volume":"6"},"uris":["http://www.mendeley.com/documents/?uuid=e9fddf96-63be-4ac0-ae66-a266288c2849"]},{"id":"ITEM-2","itemData":{"DOI":"10.1111/gcb.15203","ISSN":"13652486","PMID":"32497360","abstract":"The eddy covariance (EC) technique is used to measure the net ecosystem exchange (NEE) of CO2 between ecosystems and the atmosphere, offering a unique opportunity to study ecosystem responses to climate change. NEE is the difference between the total CO2 release due to all respiration processes (RECO), and the gross carbon uptake by photosynthesis (GPP). These two gross CO2 fluxes are derived from EC measurements by applying partitioning methods that rely on physiologically based functional relationships with a limited number of environmental drivers. However, the partitioning methods applied in the global FLUXNET network of EC observations do not account for the multiple co-acting factors that modulate GPP and RECO flux dynamics. To overcome this limitation, we developed a hybrid data-driven approach based on combined neural networks (NNC-part). NNC-part incorporates process knowledge by introducing a photosynthetic response based on the light-use efficiency (LUE) concept, and uses a comprehensive dataset of soil and micrometeorological variables as fluxes drivers. We applied the method to 36 sites from the FLUXNET2015 dataset and found a high consistency in the results with those derived from other standard partitioning methods for both GPP (R2 &gt;.94) and RECO (R2 &gt;.8). High consistency was also found for (a) the diurnal and seasonal patterns of fluxes and (b) the ecosystem functional responses. NNC-part performed more realistic than the traditional methods for predicting additional patterns of gross CO2 fluxes, such as: (a) the GPP response to VPD, (b) direct effects of air temperature on GPP dynamics, (c) hysteresis in the diel cycle of gross CO2 fluxes, (d) the sensitivity of LUE to the diffuse to direct radiation ratio, and (e) the post rain respiration pulse after a long dry period. In conclusion, NNC-part is a valid data-driven approach to provide GPP and RECO estimates and complementary to the existing partitioning methods.","author":[{"dropping-particle":"","family":"Tramontana","given":"Gianluca","non-dropping-particle":"","parse-names":false,"suffix":""},{"dropping-particle":"","family":"Migliavacca","given":"Mirco","non-dropping-particle":"","parse-names":false,"suffix":""},{"dropping-particle":"","family":"Jung","given":"Martin","non-dropping-particle":"","parse-names":false,"suffix":""},{"dropping-particle":"","family":"Reichstein","given":"Markus","non-dropping-particle":"","parse-names":false,"suffix":""},{"dropping-particle":"","family":"Keenan","given":"Trevor F.","non-dropping-particle":"","parse-names":false,"suffix":""},{"dropping-particle":"","family":"Camps-Valls","given":"Gustau","non-dropping-particle":"","parse-names":false,"suffix":""},{"dropping-particle":"","family":"Ogee","given":"Jerome","non-dropping-particle":"","parse-names":false,"suffix":""},{"dropping-particle":"","family":"Verrelst","given":"Jochem","non-dropping-particle":"","parse-names":false,"suffix":""},{"dropping-particle":"","family":"Papale","given":"Dario","non-dropping-particle":"","parse-names":false,"suffix":""}],"container-title":"Global Change Biology","id":"ITEM-2","issue":"9","issued":{"date-parts":[["2020"]]},"page":"5235-5253","title":"Partitioning net carbon dioxide fluxes into photosynthesis and respiration using neural networks","type":"article-journal","volume":"26"},"uris":["http://www.mendeley.com/documents/?uuid=59b5eef4-ace3-45ea-9d98-24411ba3acb9"]}],"mendeley":{"formattedCitation":"(Oliphant, 2012; Tramontana et al., 2020)","plainTextFormattedCitation":"(Oliphant, 2012; Tramontana et al., 2020)","previouslyFormattedCitation":"(Oliphant, 2012; Tramontana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(Oliphant, 2012; Tramontana et al., 2020)</w:t>
      </w:r>
      <w:r w:rsidRPr="00C1362F">
        <w:rPr>
          <w:rFonts w:eastAsia="Arial"/>
          <w:sz w:val="24"/>
        </w:rPr>
        <w:fldChar w:fldCharType="end"/>
      </w:r>
      <w:r w:rsidRPr="00C1362F">
        <w:rPr>
          <w:rFonts w:eastAsia="Arial"/>
          <w:sz w:val="24"/>
        </w:rPr>
        <w:t>. Field sampling campaigns are essential for directly measuring SOC stocks</w:t>
      </w:r>
      <w:r>
        <w:rPr>
          <w:rFonts w:eastAsia="Arial"/>
          <w:sz w:val="24"/>
        </w:rPr>
        <w:t xml:space="preserve"> and the associated changes</w:t>
      </w:r>
      <w:r w:rsidRPr="00C1362F">
        <w:rPr>
          <w:rFonts w:eastAsia="Arial"/>
          <w:sz w:val="24"/>
        </w:rPr>
        <w:t xml:space="preserve"> </w:t>
      </w:r>
      <w:r w:rsidRPr="00C1362F">
        <w:rPr>
          <w:rFonts w:eastAsia="Arial"/>
          <w:sz w:val="24"/>
        </w:rPr>
        <w:fldChar w:fldCharType="begin" w:fldLock="1"/>
      </w:r>
      <w:r w:rsidRPr="00C1362F">
        <w:rPr>
          <w:rFonts w:eastAsia="Arial"/>
          <w:sz w:val="24"/>
        </w:rPr>
        <w:instrText>ADDIN CSL_CITATION {"citationItems":[{"id":"ITEM-1","itemData":{"DOI":"10.1007/s10533-020-00745-9","ISSN":"1573515X","abstract":"The rarity of rapid campaigns to characterize soils across scales limits opportunities to investigate variation in soil carbon stocks (SOC) storage simultaneously at large and small scales, with and without site-level replication. We used data from two complementary campaigns at 40 sites in the United States across the National Ecological Observatory Network (NEON), in which one campaign sampled profiles from closely co-located intensive plots and physically composited similar horizons, and the other sampled dozens of pedons across the landscape at each site. We demonstrate some consistencies between these distinct designs, while also revealing that within-site replication reveals patterns and predictors of SOC stocks not detectable with non-replicated designs. Both designs demonstrate that SOC stocks of whole soil profiles vary across continental-scale climate gradients. However, broad climate patterns may mask the importance of localized variation in soil physicochemical properties, as captured by within-site sampling, especially for SOC stocks of discrete genetic horizons. Within-site replication also reveals examples in which expectations based on readily explained continental-scale patterns do not hold. For example, even wide-ranging drainage class sequences within landscapes do not duplicate the clear differences in profile SOC stocks across drainage classes at the continental scale, and physicochemical factors associated with increasing B horizon SOC stocks at continental scales frequently do not follow the same patterns within landscapes. Because inferences from SOC studies are a product of their context (where, when, how), this study provides context—in terms of SOC stocks and the factors that influence them—for others assessing soils and the C cycle at NEON sites.","author":[{"dropping-particle":"","family":"Nave","given":"L. E.","non-dropping-particle":"","parse-names":false,"suffix":""},{"dropping-particle":"","family":"Bowman","given":"M.","non-dropping-particle":"","parse-names":false,"suffix":""},{"dropping-particle":"","family":"Gallo","given":"A.","non-dropping-particle":"","parse-names":false,"suffix":""},{"dropping-particle":"","family":"Hatten","given":"J. A.","non-dropping-particle":"","parse-names":false,"suffix":""},{"dropping-particle":"","family":"Heckman","given":"K. A.","non-dropping-particle":"","parse-names":false,"suffix":""},{"dropping-particle":"","family":"Matosziuk","given":"L.","non-dropping-particle":"","parse-names":false,"suffix":""},{"dropping-particle":"","family":"Possinger","given":"A. R.","non-dropping-particle":"","parse-names":false,"suffix":""},{"dropping-particle":"","family":"SanClements","given":"M.","non-dropping-particle":"","parse-names":false,"suffix":""},{"dropping-particle":"","family":"Sanderman","given":"J.","non-dropping-particle":"","parse-names":false,"suffix":""},{"dropping-particle":"","family":"Strahm","given":"B. D.","non-dropping-particle":"","parse-names":false,"suffix":""},{"dropping-particle":"","family":"Weiglein","given":"T. L.","non-dropping-particle":"","parse-names":false,"suffix":""},{"dropping-particle":"","family":"Swanston","given":"C. W.","non-dropping-particle":"","parse-names":false,"suffix":""}],"container-title":"Biogeochemistry","id":"ITEM-1","issue":"1","issued":{"date-parts":[["2021"]]},"page":"75-96","title":"Patterns and predictors of soil organic carbon storage across a continental-scale network","type":"article-journal","volume":"156"},"uris":["http://www.mendeley.com/documents/?uuid=96dc9584-d1a4-4364-baeb-c29e3a7fa8af"]}],"mendeley":{"formattedCitation":"(Nave et al., 2021)","plainTextFormattedCitation":"(Nave et al., 2021)","previouslyFormattedCitation":"(Nave et al., 2021)"},"properties":{"noteIndex":0},"schema":"https://github.com/citation-style-language/schema/raw/master/csl-citation.json"}</w:instrText>
      </w:r>
      <w:r w:rsidRPr="00C1362F">
        <w:rPr>
          <w:rFonts w:eastAsia="Arial"/>
          <w:sz w:val="24"/>
        </w:rPr>
        <w:fldChar w:fldCharType="separate"/>
      </w:r>
      <w:r w:rsidRPr="00C1362F">
        <w:rPr>
          <w:rFonts w:eastAsia="Arial"/>
          <w:noProof/>
          <w:sz w:val="24"/>
        </w:rPr>
        <w:t>(Nave et al., 2021)</w:t>
      </w:r>
      <w:r w:rsidRPr="00C1362F">
        <w:rPr>
          <w:rFonts w:eastAsia="Arial"/>
          <w:sz w:val="24"/>
        </w:rPr>
        <w:fldChar w:fldCharType="end"/>
      </w:r>
      <w:r w:rsidRPr="00C1362F">
        <w:rPr>
          <w:rFonts w:eastAsia="Arial"/>
          <w:sz w:val="24"/>
        </w:rPr>
        <w:t xml:space="preserve">, </w:t>
      </w:r>
      <w:r>
        <w:rPr>
          <w:rFonts w:eastAsia="Arial"/>
          <w:sz w:val="24"/>
        </w:rPr>
        <w:t>which complements C fluxes observed from flux towers. However,</w:t>
      </w:r>
      <w:r w:rsidRPr="00C1362F">
        <w:rPr>
          <w:rFonts w:eastAsia="Arial"/>
          <w:sz w:val="24"/>
        </w:rPr>
        <w:t xml:space="preserve"> direct field measurements can be both expensive and labor-intensive to accurately capture the vast and complex rangeland landscape. Upscaling in-situ observations of C fluxes and SOC stocks, using models coupled with remote sensing (RS) and large-scale surveys</w:t>
      </w:r>
      <w:r>
        <w:rPr>
          <w:rFonts w:eastAsia="Arial"/>
          <w:sz w:val="24"/>
        </w:rPr>
        <w:t>-derived environmental variable datasets can</w:t>
      </w:r>
      <w:r w:rsidRPr="00C1362F">
        <w:rPr>
          <w:rFonts w:eastAsia="Arial"/>
          <w:sz w:val="24"/>
        </w:rPr>
        <w:t xml:space="preserve"> </w:t>
      </w:r>
      <w:r>
        <w:rPr>
          <w:rFonts w:eastAsia="Arial"/>
          <w:sz w:val="24"/>
        </w:rPr>
        <w:t>estimate</w:t>
      </w:r>
      <w:r w:rsidRPr="00C1362F">
        <w:rPr>
          <w:rFonts w:eastAsia="Arial"/>
          <w:sz w:val="24"/>
        </w:rPr>
        <w:t xml:space="preserve"> long-term C budgets at large geographic scale</w:t>
      </w:r>
      <w:r>
        <w:rPr>
          <w:rFonts w:eastAsia="Arial"/>
          <w:sz w:val="24"/>
        </w:rPr>
        <w:t>s</w:t>
      </w:r>
      <w:r w:rsidRPr="00C1362F">
        <w:rPr>
          <w:rFonts w:eastAsia="Arial"/>
          <w:sz w:val="24"/>
        </w:rPr>
        <w:t xml:space="preserve"> </w:t>
      </w:r>
      <w:r w:rsidRPr="00C1362F">
        <w:rPr>
          <w:rFonts w:eastAsia="Arial"/>
          <w:sz w:val="24"/>
        </w:rPr>
        <w:fldChar w:fldCharType="begin" w:fldLock="1"/>
      </w:r>
      <w:r w:rsidRPr="00C1362F">
        <w:rPr>
          <w:rFonts w:eastAsia="Arial"/>
          <w:sz w:val="24"/>
        </w:rPr>
        <w:instrText>ADDIN CSL_CITATION {"citationItems":[{"id":"ITEM-1","itemData":{"DOI":"10.1073/pnas.1706103114","ISSN":"10916490","PMID":"28827323","abstract":"Human appropriation of land for agriculture has greatly altered the terrestrial carbon balance, creating a large but uncertain carbon debt in soils. Estimating the size and spatial distribution of soil organic carbon (SOC) loss due to land use and land cover change has been difficult but is a critical step in understanding whether SOC sequestration can be an effective climate mitigation strategy. In this study, a machine learning-based model was fitted using a global compilation of SOC data and the History Database of the Global Environment (HYDE) land use data in combination with climatic, landform and lithology covariates. Model results compared favorably with a global compilation of paired plot studies. Projection of this model onto a world without agriculture indicated a global carbon debt due to agriculture of 133 Pg C for the top 2 m of soil, with the rate of loss increasing dramatically in the past 200 years. The HYDE classes “grazing” and “cropland” contributed nearly equally to the loss of SOC. There were higher percent SOC losses on cropland but since more than twice as much land is grazed, slightly higher total losses were found from grazing land. Important spatial patterns of SOC loss were found: Hotspots of SOC loss coincided with some major cropping regions as well as semiarid grazing regions, while other major agricultural zones showed small losses and even net gains in SOC. This analysis has demonstrated that there are identifiable regions which can be targeted for SOC restoration efforts.","author":[{"dropping-particle":"","family":"Sanderman","given":"Jonathan","non-dropping-particle":"","parse-names":false,"suffix":""},{"dropping-particle":"","family":"Hengl","given":"Tomislav","non-dropping-particle":"","parse-names":false,"suffix":""},{"dropping-particle":"","family":"Fiske","given":"Gregory J.","non-dropping-particle":"","parse-names":false,"suffix":""}],"container-title":"Proceedings of the National Academy of Sciences of the United States of America","id":"ITEM-1","issue":"36","issued":{"date-parts":[["2017"]]},"page":"9575-9580","title":"Soil carbon debt of 12,000 years of human land use","type":"article-journal","volume":"114"},"uris":["http://www.mendeley.com/documents/?uuid=b4372bad-cd49-43c4-bd04-c8d85fe94a1c"]},{"id":"ITEM-2","itemData":{"DOI":"10.1111/ejss.12998","ISSN":"13652389","abstract":"Spatially resolved estimates of change in soil organic carbon (SOC) stocks are necessary for supporting national and international policies aimed at achieving land degradation neutrality and climate change mitigation. In this work we report on the development, implementation and application of a data-driven, statistical method for mapping SOC stocks in space and time, using Argentina as a pilot. We used quantile regression forest machine learning to predict annual SOC stock at 0–30 cm depth at 250 m resolution for Argentina between 1982 and 2017. The model was calibrated using over 5,000 SOC stock values from the 36-year time period and 35 environmental covariates. We preprocessed normalized difference vegetation index (NDVI) dynamic covariates using a temporal low-pass filter to allow the SOC stock for a given year to depend on the NDVI of the current as well as preceding years. Predictions had modest temporal variation, with an average decrease for the entire country from 2.55 to 2.48 kg C m−2 over the 36-year period (equivalent to a decline of 211 Gg C, 3.0% of the total 0–30 cm SOC stock in Argentina). The Pampa region had a larger estimated SOC stock decrease from 4.62 to 4.34 kg C m−2 (5.9%) during the same period. For the 2001–2015 period, predicted temporal variation was seven-fold larger than that obtained using the Tier 1 approach of the Intergovernmental Panel on Climate Change and United Nations Convention to Combat Desertification. Prediction uncertainties turned out to be substantial, mainly due to the limited number and poor spatial and temporal distribution of the calibration data, and the limited explanatory power of the covariates. Cross-validation confirmed that SOC stock prediction accuracy was limited, with a mean error of 0.03 kg C m−2 and a root mean squared error of 2.04 kg C m−2. In spite of the large uncertainties, this work showed that machine learning methods can be used for space–time SOC mapping and may yield valuable information to land managers and policymakers, provided that SOC observation density in space and time is sufficiently large. Highlights: We tested the use of machine learning for space–time mapping of soil organic carbon (SOC) stock. Predictions for Argentina from 1982 to 2017 showed a 3% decrease of the topsoil SOC stock over time. The machine learning model predicted a greater temporal variation than the IPCC Tier 1 approach. Accurate machine learning SOC stock prediction requires dense soil sampling in spa…","author":[{"dropping-particle":"","family":"Heuvelink","given":"Gerard B.M.","non-dropping-particle":"","parse-names":false,"suffix":""},{"dropping-particle":"","family":"Angelini","given":"Marcos E.","non-dropping-particle":"","parse-names":false,"suffix":""},{"dropping-particle":"","family":"Poggio","given":"Laura","non-dropping-particle":"","parse-names":false,"suffix":""},{"dropping-particle":"","family":"Bai","given":"Zhanguo","non-dropping-particle":"","parse-names":false,"suffix":""},{"dropping-particle":"","family":"Batjes","given":"Niels H.","non-dropping-particle":"","parse-names":false,"suffix":""},{"dropping-particle":"","family":"Bosch","given":"Rik","non-dropping-particle":"van den","parse-names":false,"suffix":""},{"dropping-particle":"","family":"Bossio","given":"Deborah","non-dropping-particle":"","parse-names":false,"suffix":""},{"dropping-particle":"","family":"Estella","given":"Sergio","non-dropping-particle":"","parse-names":false,"suffix":""},{"dropping-particle":"","family":"Lehmann","given":"Johannes","non-dropping-particle":"","parse-names":false,"suffix":""},{"dropping-particle":"","family":"Olmedo","given":"Guillermo F.","non-dropping-particle":"","parse-names":false,"suffix":""},{"dropping-particle":"","family":"Sanderman","given":"Jonathan","non-dropping-particle":"","parse-names":false,"suffix":""}],"container-title":"European Journal of Soil Science","id":"ITEM-2","issue":"4","issued":{"date-parts":[["2021"]]},"page":"1607-1623","title":"Machine learning in space and time for modelling soil organic carbon change","type":"article-journal","volume":"72"},"uris":["http://www.mendeley.com/documents/?uuid=ec1ec5b5-c38c-4ee7-94e5-50064cab3d95"]},{"id":"ITEM-3","itemData":{"DOI":"10.1038/s41598-022-23120-0","ISSN":"20452322","PMID":"36319733","abstract":"Historically, humans have cleared many forests for agriculture. While this substantially reduced ecosystem carbon storage, the impacts of these land cover changes on terrestrial gross primary productivity (GPP) have not been adequately resolved yet. Here, we combine high-resolution datasets of satellite-derived GPP and environmental predictor variables to estimate the potential GPP of forests, grasslands, and croplands around the globe. With a mean GPP of 2.0 kg C m−2 yr−1 forests represent the most productive land cover on two thirds of the total area suitable for any of these land cover types, while grasslands and croplands on average reach 1.5 and 1.8 kg C m−2 yr−1, respectively. Combining our potential GPP maps with a historical land-use reconstruction indicates a 4.4% reduction in global GPP from agricultural expansion. This land-use-induced GPP reduction is amplified in some future scenarios as a result of ongoing deforestation (e.g., the large-scale bioenergy scenario SSP4-3.4) but partly reversed in other scenarios (e.g., the sustainability scenario SSP1-1.9) due to agricultural abandonment. Comparing our results to simulations from state-of-the-art Earth System Models, we find that all investigated models deviate substantially from our estimates and from each other. Our maps could be used as a benchmark to reduce this inconsistency, thereby improving projections of land-based climate mitigation potentials.","author":[{"dropping-particle":"","family":"Krause","given":"Andreas","non-dropping-particle":"","parse-names":false,"suffix":""},{"dropping-particle":"","family":"Papastefanou","given":"Phillip","non-dropping-particle":"","parse-names":false,"suffix":""},{"dropping-particle":"","family":"Gregor","given":"Konstantin","non-dropping-particle":"","parse-names":false,"suffix":""},{"dropping-particle":"","family":"Layritz","given":"Lucia S.","non-dropping-particle":"","parse-names":false,"suffix":""},{"dropping-particle":"","family":"Zang","given":"Christian S.","non-dropping-particle":"","parse-names":false,"suffix":""},{"dropping-particle":"","family":"Buras","given":"Allan","non-dropping-particle":"","parse-names":false,"suffix":""},{"dropping-particle":"","family":"Li","given":"Xing","non-dropping-particle":"","parse-names":false,"suffix":""},{"dropping-particle":"","family":"Xiao","given":"Jingfeng","non-dropping-particle":"","parse-names":false,"suffix":""},{"dropping-particle":"","family":"Rammig","given":"Anja","non-dropping-particle":"","parse-names":false,"suffix":""}],"container-title":"Scientific Reports","id":"ITEM-3","issue":"1","issued":{"date-parts":[["2022"]]},"page":"e18398","title":"Quantifying the impacts of land cover change on gross primary productivity globally","type":"article-journal","volume":"12"},"uris":["http://www.mendeley.com/documents/?uuid=60deb332-1386-449f-96c9-ff2d3bdccf09"]},{"id":"ITEM-4","itemData":{"DOI":"10.1641/0006-3568(2004)054[0573:IRSAEP]2.0.CO;2","ISSN":"00063568","abstract":"A growing body of research has demonstrated the complementary nature of remote sensing and ecosystem modeling in studies of terrestrial carbon cycling. Whereas remote sensing instruments are designed to capture spatially continuous information on the reflectance properties of landscape and vegetation, models focus on the underlying biogeochemical processes that regulate carbon transformation, often over longer temporal scales. Remote sensing capabilities, developed over the past several decades, now provide regular, high-resolution (10-meter to 1-kilometer) mapping and monitoring of land surface characteristics relevant to modeling, including vegetation type, biomass, stand age class, phenology, leaf area index, and tree height. Integration of these data sets with ecosystem process models and distributed climate data provides a means for regional assessment of carbon fluxes and analysis of the underlying processes affecting them. Applications include monitoring of carbon pools and flux in response to the United Nations Framework Convention on Climate Change.","author":[{"dropping-particle":"","family":"Turner","given":"David P.","non-dropping-particle":"","parse-names":false,"suffix":""},{"dropping-particle":"V.","family":"Ollinger","given":"Scott","non-dropping-particle":"","parse-names":false,"suffix":""},{"dropping-particle":"","family":"Kimball","given":"John S.","non-dropping-particle":"","parse-names":false,"suffix":""}],"container-title":"BioScience","id":"ITEM-4","issue":"6","issued":{"date-parts":[["2004"]]},"page":"573-584","title":"Integrating remote sensing and ecosystem process models for landscape- to regional-scale analysis of the carbon cycle","type":"article-journal","volume":"54"},"uris":["http://www.mendeley.com/documents/?uuid=29360009-55d6-41af-9b6d-25e57cbd0b87"]}],"mendeley":{"formattedCitation":"(Heuvelink et al., 2021; Krause et al., 2022; Sanderman et al., 2017; Turner et al., 2004)","plainTextFormattedCitation":"(Heuvelink et al., 2021; Krause et al., 2022; Sanderman et al., 2017; Turner et al., 2004)","previouslyFormattedCitation":"(Heuvelink et al., 2021; Krause et al., 2022; Sanderman et al., 2017; Turner et al., 2004)"},"properties":{"noteIndex":0},"schema":"https://github.com/citation-style-language/schema/raw/master/csl-citation.json"}</w:instrText>
      </w:r>
      <w:r w:rsidRPr="00C1362F">
        <w:rPr>
          <w:rFonts w:eastAsia="Arial"/>
          <w:sz w:val="24"/>
        </w:rPr>
        <w:fldChar w:fldCharType="separate"/>
      </w:r>
      <w:r w:rsidRPr="00C1362F">
        <w:rPr>
          <w:rFonts w:eastAsia="Arial"/>
          <w:noProof/>
          <w:sz w:val="24"/>
        </w:rPr>
        <w:t>(Heuvelink et al., 2021; Krause et al., 2022; Sanderman et al., 2017; Turner et al., 2004)</w:t>
      </w:r>
      <w:r w:rsidRPr="00C1362F">
        <w:rPr>
          <w:rFonts w:eastAsia="Arial"/>
          <w:sz w:val="24"/>
        </w:rPr>
        <w:fldChar w:fldCharType="end"/>
      </w:r>
      <w:r>
        <w:rPr>
          <w:rFonts w:eastAsia="Arial"/>
          <w:sz w:val="24"/>
        </w:rPr>
        <w:t>, but approaches need to be carefully designed to maximize accuracy</w:t>
      </w:r>
      <w:r w:rsidRPr="00C1362F">
        <w:rPr>
          <w:rFonts w:eastAsia="Arial"/>
          <w:sz w:val="24"/>
        </w:rPr>
        <w:t>.</w:t>
      </w:r>
    </w:p>
    <w:p w14:paraId="5973912C" w14:textId="77777777" w:rsidR="00400029" w:rsidRPr="00C1362F" w:rsidRDefault="00400029" w:rsidP="00400029">
      <w:pPr>
        <w:spacing w:before="120"/>
        <w:ind w:firstLine="720"/>
        <w:jc w:val="both"/>
        <w:rPr>
          <w:rFonts w:eastAsia="Arial"/>
          <w:sz w:val="24"/>
        </w:rPr>
      </w:pPr>
      <w:r w:rsidRPr="00C1362F">
        <w:rPr>
          <w:rFonts w:eastAsia="Arial"/>
          <w:sz w:val="24"/>
        </w:rPr>
        <w:t xml:space="preserve">The empirical, digital soil mapping (DSM) approach has been widely used for estimating SOC stocks by taking advantage of the connection between environmental </w:t>
      </w:r>
      <w:r>
        <w:rPr>
          <w:rFonts w:eastAsia="Arial"/>
          <w:sz w:val="24"/>
        </w:rPr>
        <w:t>variables</w:t>
      </w:r>
      <w:r w:rsidRPr="00C1362F">
        <w:rPr>
          <w:rFonts w:eastAsia="Arial"/>
          <w:sz w:val="24"/>
        </w:rPr>
        <w:t xml:space="preserve"> and soil C dynamics </w:t>
      </w:r>
      <w:r w:rsidRPr="00C1362F">
        <w:rPr>
          <w:rFonts w:eastAsia="Arial"/>
          <w:sz w:val="24"/>
        </w:rPr>
        <w:fldChar w:fldCharType="begin" w:fldLock="1"/>
      </w:r>
      <w:r w:rsidRPr="00C1362F">
        <w:rPr>
          <w:rFonts w:eastAsia="Arial"/>
          <w:sz w:val="24"/>
        </w:rPr>
        <w:instrText>ADDIN CSL_CITATION {"citationItems":[{"id":"ITEM-1","itemData":{"DOI":"10.1016/j.geoderma.2015.07.017","ISSN":"00167061","abstract":"Digital soil mapping (DSM) is a successful sub discipline of soil science with an active research output. The success of digital soil mapping is a confluence of several factors in the beginning of 2000 including the increased availability of spatial data (digital elevation model, satellite imagery), the availability of computing power for processing data, the development of data-mining tools and GIS, and numerous applications beyond geostatistics. In addition, there was an increased global demand for spatial data including uncertainty assessments, and a rejuvenation of many soil survey and university centres which helped in the spreading of digital soil mapping technologies and knowledge. The theoretical framework for digital soil mapping was formalised in a 2003 paper in Geoderma. In this paper, we define what constitutes digital soil mapping, sketch a brief history of it, and discuss some lessons. Digital soil mapping requires three components: the input in the form of field and laboratory observational methods, the process used in terms of spatial and non-spatial soil inference systems, and the output in the form of spatial soil information systems, which includes outputs in the form of rasters of prediction along with the uncertainty of prediction. We also illustrate the history with a number of sleeping beauty papers that seem too precocious and consequently the ideas were not taken up by contemporaries and largely forgotten. It took another 30 to 40years before the ideas were rediscovered and then flourished. Examples include proximal soil sensing that was developed in the 1920s, soil spectroscopy in 1970s, and soil mapping based on similarity of environmental factors in 1979. In summary, the coming together of emerging topics and timeliness greatly assists in the development of paradigm. We learned that research and ideas that are too precocious are largely ignored — such work warrants (re)discovery.","author":[{"dropping-particle":"","family":"Minasny","given":"Budiman","non-dropping-particle":"","parse-names":false,"suffix":""},{"dropping-particle":"","family":"McBratney","given":"Alex.B.","non-dropping-particle":"","parse-names":false,"suffix":""}],"container-title":"Geoderma","id":"ITEM-1","issued":{"date-parts":[["2015"]]},"page":"301-311","title":"Digital soil mapping: A brief history and some lessons","type":"article-journal","volume":"264"},"uris":["http://www.mendeley.com/documents/?uuid=1f26f602-d88d-46f1-aa81-8f1d151c137f"]},{"id":"ITEM-2","itemData":{"DOI":"10.1007/978-981-10-3638-5_1","ISBN":"9789811036385","abstract":"Soil plays a key role in agricultural production system by supporting plant growth as well as in hydrological cycle by partitioning rainwater into runoff and infiltration. Therefore, knowledge on soil properties helps in better management of both soil and water resources for sustainable crop production. However, soils vary largely in space and therefore characterizing it for a particular landscape with a set of soil parameters is a difficult task. Often, there is need to collect multiple soil samples from a landscape for characterization purpose in order to minimize the spatial variation effect and is not always feasible. Most of the times, a homogeneous zone is assumed with similar soil properties to eliminate the variation effect. Soil mapping helps in characterizing the soil resources in a better way and recently introduced digital soil mapping approach is more appropriate for this purpose. In this approach, spatial variation of soil properties and its relation with other landscape and environment variables in the form of 'scorpan' factors are considered while mapping soil properties in a spatial domain. Mathematical models are also established between soil properties and environment variables exploiting the available legacy soil data and hugely available digital data on earth features in recent times. Hyperspectral soil signatures have also a potential role to improve the digital soil products further. In this chapter, we discuss the basics of digital soil mapping approach and its needs, semivariogram fitting, kriging and its variations, accuracy and uncertainty of digital maps, role of pedotransfer (PTF) and spectrotransfer (STF) models in digital soil mapping, future prospect of hyperspectral signatures in mapping soil properties and few cases studies on digital soil mapping. Finally, it is expected that digital soil maps are available in different IT platforms, e.g. internet, desktop computer, mobile apps, webGIS platform, etc., to make them useful to end users.","author":[{"dropping-particle":"","family":"Santra","given":"Priyabrata","non-dropping-particle":"","parse-names":false,"suffix":""},{"dropping-particle":"","family":"Kumar","given":"Mahesh","non-dropping-particle":"","parse-names":false,"suffix":""},{"dropping-particle":"","family":"Panwar","given":"N. R.","non-dropping-particle":"","parse-names":false,"suffix":""},{"dropping-particle":"","family":"Das","given":"B. S.","non-dropping-particle":"","parse-names":false,"suffix":""}],"container-title":"Adaptive Soil Management: From Theory to Practices","editor":[{"dropping-particle":"","family":"Rakshit","given":"Amitava","non-dropping-particle":"","parse-names":false,"suffix":""},{"dropping-particle":"","family":"Abhilash","given":"Purushothaman Chirakkuzhyil","non-dropping-particle":"","parse-names":false,"suffix":""},{"dropping-particle":"","family":"Singh","given":"Harikesh Bahadur","non-dropping-particle":"","parse-names":false,"suffix":""},{"dropping-particle":"","family":"Ghosh","given":"Subhadip","non-dropping-particle":"","parse-names":false,"suffix":""}],"id":"ITEM-2","issued":{"date-parts":[["2017"]]},"page":"3-38","publisher":"Springer Singapore","publisher-place":"Singapore","title":"Digital soil mapping and best management of soil resources: A brief discussion with few case studies","type":"chapter"},"uris":["http://www.mendeley.com/documents/?uuid=1d7dae93-27fd-4f49-aa99-fcbec40d4e52"]}],"mendeley":{"formattedCitation":"(Minasny &amp; McBratney, 2015; Santra et al., 2017)","plainTextFormattedCitation":"(Minasny &amp; McBratney, 2015; Santra et al., 2017)","previouslyFormattedCitation":"(Minasny &amp; McBratney, 2015; Santra et al., 2017)"},"properties":{"noteIndex":0},"schema":"https://github.com/citation-style-language/schema/raw/master/csl-citation.json"}</w:instrText>
      </w:r>
      <w:r w:rsidRPr="00C1362F">
        <w:rPr>
          <w:rFonts w:eastAsia="Arial"/>
          <w:sz w:val="24"/>
        </w:rPr>
        <w:fldChar w:fldCharType="separate"/>
      </w:r>
      <w:r w:rsidRPr="00C1362F">
        <w:rPr>
          <w:rFonts w:eastAsia="Arial"/>
          <w:noProof/>
          <w:sz w:val="24"/>
        </w:rPr>
        <w:t>(Minasny &amp; McBratney, 2015; Santra et al., 2017)</w:t>
      </w:r>
      <w:r w:rsidRPr="00C1362F">
        <w:rPr>
          <w:rFonts w:eastAsia="Arial"/>
          <w:sz w:val="24"/>
        </w:rPr>
        <w:fldChar w:fldCharType="end"/>
      </w:r>
      <w:r w:rsidRPr="00C1362F">
        <w:rPr>
          <w:rFonts w:eastAsia="Arial"/>
          <w:sz w:val="24"/>
        </w:rPr>
        <w:t>. However, despite its rapid and cost-</w:t>
      </w:r>
      <w:r w:rsidRPr="00C1362F">
        <w:rPr>
          <w:rFonts w:eastAsia="Arial"/>
          <w:sz w:val="24"/>
        </w:rPr>
        <w:lastRenderedPageBreak/>
        <w:t xml:space="preserve">effective nature, this approach is less frequently used for estimating changes in SOC stocks or C fluxes, primarily due to the scarcity of </w:t>
      </w:r>
      <w:r>
        <w:rPr>
          <w:rFonts w:eastAsia="Arial"/>
          <w:sz w:val="24"/>
        </w:rPr>
        <w:t xml:space="preserve">data on changes in SOC </w:t>
      </w:r>
      <w:r w:rsidRPr="00C1362F">
        <w:rPr>
          <w:rFonts w:eastAsia="Arial"/>
          <w:sz w:val="24"/>
        </w:rPr>
        <w:t xml:space="preserve">that are needed for </w:t>
      </w:r>
      <w:r>
        <w:rPr>
          <w:rFonts w:eastAsia="Arial"/>
          <w:sz w:val="24"/>
        </w:rPr>
        <w:t xml:space="preserve">statistical </w:t>
      </w:r>
      <w:r w:rsidRPr="00C1362F">
        <w:rPr>
          <w:rFonts w:eastAsia="Arial"/>
          <w:sz w:val="24"/>
        </w:rPr>
        <w:t>model training</w:t>
      </w:r>
      <w:r>
        <w:rPr>
          <w:rFonts w:eastAsia="Arial"/>
          <w:sz w:val="24"/>
        </w:rPr>
        <w:t xml:space="preserve"> and verification</w:t>
      </w:r>
      <w:r w:rsidRPr="00C1362F">
        <w:rPr>
          <w:rFonts w:eastAsia="Arial"/>
          <w:sz w:val="24"/>
        </w:rPr>
        <w:t xml:space="preserve">. In contrast to purely data-driven empirical upscaling approaches, process-based models incorporate mathematical representations of underlying system processes, such as heat transfer, hydrologic flows, and C cycling </w:t>
      </w:r>
      <w:r w:rsidRPr="00C1362F">
        <w:rPr>
          <w:rFonts w:eastAsia="Arial"/>
          <w:sz w:val="24"/>
        </w:rPr>
        <w:fldChar w:fldCharType="begin" w:fldLock="1"/>
      </w:r>
      <w:r w:rsidRPr="00C1362F">
        <w:rPr>
          <w:rFonts w:eastAsia="Arial"/>
          <w:sz w:val="24"/>
        </w:rPr>
        <w:instrText>ADDIN CSL_CITATION {"citationItems":[{"id":"ITEM-1","itemData":{"DOI":"10.5194/bg-11-4443-2014","ISBN":"1144432014","ISSN":"1726-4189","abstract":"Future potentials of the sequestration of soil or- ganic carbon (SOC) in agricultural lands in Japan were es- timated using a simulation system we recently developed to simulate SOC stock change at country-scale under vary- ing land-use change, climate, soil, and agricultural prac- tices, in a spatially explicit manner. Simulation was run from 1970 to 2006 with historical inventories, and subsequently to 2020 with future scenarios of agricultural activity com- prised of various agricultural policy targets advocated by the Japanese government. Furthermore, the simulation was run subsequently until 2100 while forcing no temporal changes in land-use and agricultural activity to investigate duration and course of SOC stock change at country scale. A scenario with an increased rate of organic carbon in- put to agricultural fields by intensified crop rotation in com- bination with the suppression of conversion of agricultural lands to other land-use types was found to have a greater re- duction of CO2 emission by enhanced soil carbon sequestra- tion, but only under a circumstance in which the converted agricultural lands will become settlements that were consid- ered to have a relatively lower rate of organic carbon input. The size of relative reduction of CO2 emission in this sce- nario was comparable to that in another contrasting scenario (business-as-usual scenario of agricultural activity) in which a relatively lower rate of organic matter input to agricultural fields was assumed in combination with an increased rate of conversion of the agricultural fields to unmanaged grasslands through abandonment. Our simulation experiment clearly demonstrated that net- net-based accounting on SOC stock change, defined as the differences between the emissions and removals during the commitment period and the emissions and removals during a previous period (base year or base period of Kyoto Proto- col), can be largely influenced by variations in future climate. Whereas baseline-based accounting, defined as differences between the net emissions in the accounting period and the ex ante estimation of net business-as-usual emissions for the same period, has robustness over variations in future climate and effectiveness to factor out some of the direct human- induced effects such as changing land-use and agricultural activity. Factors affecting uncertainties in the estimation of the country-scale potential of SOC sequestration were discussed, especially those related to es…","author":[{"dropping-particle":"","family":"Yagasaki","given":"Y.","non-dropping-particle":"","parse-names":false,"suffix":""},{"dropping-particle":"","family":"Shirato","given":"Y.","non-dropping-particle":"","parse-names":false,"suffix":""}],"container-title":"Biogeosciences","id":"ITEM-1","issue":"16","issued":{"date-parts":[["2014"]]},"page":"4443-4457","title":"Assessment on the rates and potentials of soil organic carbon sequestration in agricultural lands in Japan using a process-based model and spatially explicit land-use change inventories – Part 2: Future potentials","type":"article-journal","volume":"11"},"uris":["http://www.mendeley.com/documents/?uuid=373a9e36-9564-41ad-ade8-1b6733d91560"]},{"id":"ITEM-2","itemData":{"DOI":"10.1007/s10113-022-01877-4","ISSN":"1436-3798","abstract":"In this study, we estimated the contribution of managed grasslands to the “4 per 1000” initiative in Basque Country under two climate scenarios (RCP4.5 and RCP8.5) adopted by the IPCC in its Fifth Assessment Report. For this purpose, the RothC model was calibrated and validated with a historic database of grassland soil organic carbon (SOC) (1983 to 2019). The results at field-scale show a rate of increase of 1.26 t C ha −1 year −1 at a depth of 0–30 cm over a 36-year simulation. The model was run at the regional scale in short- (2020–2040), medium- (2041–2070), and long-term (2071–2090) future climate scenarios. For all the simulations, agricultural practices and available data for grassland systems were considered. RothC model projections showed how SOC stock responses varied depending on initial SOC and climate subregions, with higher values for a lower initial SOC stock under the highest precipitation regime subregion. A 4 per 1000 storage rate could be achieved in grassland soils with an initial SOC &lt; 80 t C ha −1 . The overall trends showed that future climate change will lead to a decrease in the SOC stock in grasslands with a higher initial SOC if appropriate practices are not implemented to maintain the SOC stock.","author":[{"dropping-particle":"","family":"Doblas-Rodrigo","given":"Álvaro","non-dropping-particle":"","parse-names":false,"suffix":""},{"dropping-particle":"","family":"Gallejones","given":"Patricia","non-dropping-particle":"","parse-names":false,"suffix":""},{"dropping-particle":"","family":"Artetxe","given":"Ainara","non-dropping-particle":"","parse-names":false,"suffix":""},{"dropping-particle":"","family":"Rosa","given":"Eduardo","non-dropping-particle":"","parse-names":false,"suffix":""},{"dropping-particle":"","family":"Hierro","given":"Óscar","non-dropping-particle":"del","parse-names":false,"suffix":""},{"dropping-particle":"","family":"Merino","given":"Pilar","non-dropping-particle":"","parse-names":false,"suffix":""}],"container-title":"Regional Environmental Change","id":"ITEM-2","issue":"1","issued":{"date-parts":[["2022","3","2"]]},"page":"34","title":"Grassland contribution to soil organic carbon stock under climate change scenarios in Basque Country (Spain)","type":"article-journal","volume":"22"},"uris":["http://www.mendeley.com/documents/?uuid=371f990d-5f03-4272-85c5-ae8bdb8290e9"]},{"id":"ITEM-3","itemData":{"DOI":"10.1016/j.geoderma.2019.114014","ISSN":"00167061","author":[{"dropping-particle":"","family":"Khalil","given":"M.I.","non-dropping-particle":"","parse-names":false,"suffix":""},{"dropping-particle":"","family":"Fornara","given":"D.A.","non-dropping-particle":"","parse-names":false,"suffix":""},{"dropping-particle":"","family":"Osborne","given":"B.","non-dropping-particle":"","parse-names":false,"suffix":""}],"container-title":"Geoderma","id":"ITEM-3","issued":{"date-parts":[["2020","3"]]},"page":"114014","title":"Simulation and validation of long-term changes in soil organic carbon under permanent grassland using the DNDC model","type":"article-journal","volume":"361"},"uris":["http://www.mendeley.com/documents/?uuid=446c4936-ca83-45aa-9c73-36acf56db904"]}],"mendeley":{"formattedCitation":"(Doblas-Rodrigo et al., 2022; Khalil et al., 2020; Yagasaki &amp; Shirato, 2014)","plainTextFormattedCitation":"(Doblas-Rodrigo et al., 2022; Khalil et al., 2020; Yagasaki &amp; Shirato, 2014)","previouslyFormattedCitation":"(Doblas-Rodrigo et al., 2022; Khalil et al., 2020; Yagasaki &amp; Shirato, 2014)"},"properties":{"noteIndex":0},"schema":"https://github.com/citation-style-language/schema/raw/master/csl-citation.json"}</w:instrText>
      </w:r>
      <w:r w:rsidRPr="00C1362F">
        <w:rPr>
          <w:rFonts w:eastAsia="Arial"/>
          <w:sz w:val="24"/>
        </w:rPr>
        <w:fldChar w:fldCharType="separate"/>
      </w:r>
      <w:r w:rsidRPr="00C1362F">
        <w:rPr>
          <w:rFonts w:eastAsia="Arial"/>
          <w:noProof/>
          <w:sz w:val="24"/>
        </w:rPr>
        <w:t>(Doblas-Rodrigo et al., 2022; Khalil et al., 2020; Yagasaki &amp; Shirato, 2014)</w:t>
      </w:r>
      <w:r w:rsidRPr="00C1362F">
        <w:rPr>
          <w:rFonts w:eastAsia="Arial"/>
          <w:sz w:val="24"/>
        </w:rPr>
        <w:fldChar w:fldCharType="end"/>
      </w:r>
      <w:r w:rsidRPr="00C1362F">
        <w:rPr>
          <w:rFonts w:eastAsia="Arial"/>
          <w:sz w:val="24"/>
        </w:rPr>
        <w:t>. Consequently, they possess the capability to generate process-based outcomes (e.g., SOC stock changes) and scenario-based estimates (e.g., C fluxes under different climate and management conditions) for longer term</w:t>
      </w:r>
      <w:r>
        <w:rPr>
          <w:rFonts w:eastAsia="Arial"/>
          <w:sz w:val="24"/>
        </w:rPr>
        <w:t xml:space="preserve"> predictions</w:t>
      </w:r>
      <w:r w:rsidRPr="00C1362F">
        <w:rPr>
          <w:rFonts w:eastAsia="Arial"/>
          <w:sz w:val="24"/>
        </w:rPr>
        <w:t>.</w:t>
      </w:r>
    </w:p>
    <w:p w14:paraId="41952B7D" w14:textId="77777777" w:rsidR="00400029" w:rsidRPr="00C1362F" w:rsidRDefault="00400029" w:rsidP="00400029">
      <w:pPr>
        <w:spacing w:before="120"/>
        <w:ind w:firstLine="720"/>
        <w:jc w:val="both"/>
        <w:rPr>
          <w:rFonts w:eastAsia="Arial"/>
          <w:sz w:val="24"/>
        </w:rPr>
      </w:pPr>
      <w:r w:rsidRPr="00C1362F">
        <w:rPr>
          <w:rFonts w:eastAsia="Arial"/>
          <w:sz w:val="24"/>
        </w:rPr>
        <w:t>Process-based modeling of rangeland C fluxes</w:t>
      </w:r>
      <w:r>
        <w:rPr>
          <w:rFonts w:eastAsia="Arial"/>
          <w:sz w:val="24"/>
        </w:rPr>
        <w:t xml:space="preserve"> and</w:t>
      </w:r>
      <w:r w:rsidRPr="00C1362F">
        <w:rPr>
          <w:rFonts w:eastAsia="Arial"/>
          <w:sz w:val="24"/>
        </w:rPr>
        <w:t xml:space="preserve"> SOC stocks can be implemented using two options, namely a management-driven approach </w:t>
      </w:r>
      <w:r>
        <w:rPr>
          <w:rFonts w:eastAsia="Arial"/>
          <w:sz w:val="24"/>
        </w:rPr>
        <w:t>or</w:t>
      </w:r>
      <w:r w:rsidRPr="00C1362F">
        <w:rPr>
          <w:rFonts w:eastAsia="Arial"/>
          <w:sz w:val="24"/>
        </w:rPr>
        <w:t xml:space="preserve"> a RS-driven approach. In the management-driven approach, activity data such as livestock numbers and grazing periods are combined with climate and soil </w:t>
      </w:r>
      <w:r>
        <w:rPr>
          <w:rFonts w:eastAsia="Arial"/>
          <w:sz w:val="24"/>
        </w:rPr>
        <w:t>information</w:t>
      </w:r>
      <w:r w:rsidRPr="00C1362F">
        <w:rPr>
          <w:rFonts w:eastAsia="Arial"/>
          <w:sz w:val="24"/>
        </w:rPr>
        <w:t xml:space="preserve"> to simulate plant growth and soil C dynamics </w:t>
      </w:r>
      <w:r w:rsidRPr="00C1362F">
        <w:rPr>
          <w:rFonts w:eastAsia="Arial"/>
          <w:sz w:val="24"/>
        </w:rPr>
        <w:fldChar w:fldCharType="begin" w:fldLock="1"/>
      </w:r>
      <w:r w:rsidRPr="00C1362F">
        <w:rPr>
          <w:rFonts w:eastAsia="Arial"/>
          <w:sz w:val="24"/>
        </w:rPr>
        <w:instrText>ADDIN CSL_CITATION {"citationItems":[{"id":"ITEM-1","itemData":{"DOI":"10.5194/bg-14-5455-2017","ISSN":"17264189","abstract":"The Qinghai Province supports over 40g% of the human population of the Qinghai-Tibetan Plateau (QTP) but occupies about 29g% of its land area, and thus it plays an important role in the plateau. The dominant land cover is grassland, which has been severely degraded over the last decade due to a combination of increased human activities and climate change. Numerous studies indicate that the plateau is sensitive to recent global climate change, but the drivers and consequences of grassland ecosystem change are controversial, especially the effects of climate change and grazing patterns on the grassland biomass and soil organic carbon (SOC) storage in this region. In this study, we used the DeNitrification-DeComposition (DNDC) model and two climate change scenarios (representative concentration pathways: RCP4.5 and RCP8.5) to understand how the grassland biomass and SOC pools might respond to different grazing intensities under future climate change scenarios. More than 1400 grassland biomass sampling points and 46 SOC points were used to validate the simulated results. The simulated above-ground biomass and SOC concentrations were in good agreement with the measured data (2 0.71 and 0.73 for above-ground biomass and SOC, respectively). The results showed that climate change may be the major factor that leads to fluctuations in the grassland biomass and SOC, and it explained 26.4 and 47.7g% of biomass and SOC variation, respectively. Meanwhile, the grazing intensity explained 6.4 and 2.3g% variation in biomass and SOC, respectively. The project average biomass and SOC between 2015 and 2044 was significantly smaller than past 30 years (1985-2014), and it was 191.17gggCgmg2, 63.44gggCgkgg1 and 183.62gggCgmg2, 63.37gggCgkgg1 for biomass and SOC under RCP4.5 and RCP8.5, respectively. The RCP8.5 showed the more negative effect on the biomass and SOC compared with RCP4.5. Grazing intensity had a negative relationship with biomass and positive relationship with SOC. Compared with the baseline, the biomass and SOC changed by 12.56 and g0.19g% for 0, 7.23 and 0.23 for g50, and g5.17 and 1.19g% for +50. In the future, more human activity and management practices should be coupled into the model simulation.","author":[{"dropping-particle":"","family":"Zhang","given":"Wenjuan","non-dropping-particle":"","parse-names":false,"suffix":""},{"dropping-particle":"","family":"Zhang","given":"Feng","non-dropping-particle":"","parse-names":false,"suffix":""},{"dropping-particle":"","family":"Qi","given":"Jiaguo","non-dropping-particle":"","parse-names":false,"suffix":""},{"dropping-particle":"","family":"Hou","given":"Fujiang","non-dropping-particle":"","parse-names":false,"suffix":""}],"container-title":"Biogeosciences","id":"ITEM-1","issue":"23","issued":{"date-parts":[["2017"]]},"page":"5455-5470","title":"Modeling impacts of climate change and grazing effects on plant biomass and soil organic carbon in the Qinghai-Tibetan grasslands","type":"article-journal","volume":"14"},"uris":["http://www.mendeley.com/documents/?uuid=c30877e6-7bf5-4f23-9127-ced9820def6b"]},{"id":"ITEM-2","itemData":{"DOI":"10.1007/s10021-013-9731-7","ISSN":"1432-9840","author":[{"dropping-particle":"","family":"Smith","given":"Stuart W.","non-dropping-particle":"","parse-names":false,"suffix":""},{"dropping-particle":"","family":"Vandenberghe","given":"Charlotte","non-dropping-particle":"","parse-names":false,"suffix":""},{"dropping-particle":"","family":"Hastings","given":"Astley","non-dropping-particle":"","parse-names":false,"suffix":""},{"dropping-particle":"","family":"Johnson","given":"David","non-dropping-particle":"","parse-names":false,"suffix":""},{"dropping-particle":"","family":"Pakeman","given":"Robin J.","non-dropping-particle":"","parse-names":false,"suffix":""},{"dropping-particle":"","family":"Wal","given":"René","non-dropping-particle":"van der","parse-names":false,"suffix":""},{"dropping-particle":"","family":"Woodin","given":"Sarah J.","non-dropping-particle":"","parse-names":false,"suffix":""}],"container-title":"Ecosystems","id":"ITEM-2","issue":"3","issued":{"date-parts":[["2014","4","6"]]},"page":"418-429","title":"Optimizing carbon storage within a spatially heterogeneous upland grassland through sheep grazing management","type":"article-journal","volume":"17"},"uris":["http://www.mendeley.com/documents/?uuid=338f7225-f30d-49b3-808a-e7e02ce57ac2"]},{"id":"ITEM-3","itemData":{"DOI":"10.1016/j.scitotenv.2021.152195","ISSN":"18791026","PMID":"34890668","abstract":"Pastures and rangelands are a dominant portion of global agricultural land and have the potential to sequester carbon (C) in soils, mitigating climate change. Management intensive grazing (MIG), or high density grazing with rotations through paddocks with long rest periods, has been highlighted as a method of enhancing soil C in pastures by increasing forage production. However, few studies have examined the soil C storage potential of pastures under MIG in the northeastern United States, where the dairy industry comprises a large portion of agricultural use and the regional agricultural economy. Here we present a 12-year study conducted in this region using a combination of field data and the denitrification and decomposition (DNDCv9.5) model to analyze changes in soil C and nitrogen (N) over time, and the climate impacts as they relate to soil carbon dioxide (CO2) and nitrous oxide (N2O) fluxes. Field measurements showed: (1) increases in soil C in grazed fields under MIG (P = 0.03) with no significant increase in hayed fields (P = 0.55); and (2) that the change in soil C was negatively correlated to initial soil C content (P = 0.006). Modeled simulations also showed fields that started with relatively less soil C had significant gains in C over the course of the study, with no significant change in fields with higher initial levels of soil C. Sensitivity analyses showed the physiochemical status of soils (i.e., soil C and clay content) had greater influence over C storage than the intensity of grazing. More extensive grazing methods showed very little change in soil C storage or CO2 and N2O fluxes with modeled continuous grazing trending towards declines in soil C. Our study highlights the importance of considering both initial system conditions as well as management when analyzing the potential for long-term soil C storage.","author":[{"dropping-particle":"","family":"Arndt","given":"Kyle A.","non-dropping-particle":"","parse-names":false,"suffix":""},{"dropping-particle":"","family":"Campbell","given":"Eleanor E.","non-dropping-particle":"","parse-names":false,"suffix":""},{"dropping-particle":"","family":"Dorich","given":"Chris D.","non-dropping-particle":"","parse-names":false,"suffix":""},{"dropping-particle":"","family":"Grandy","given":"A. Stuart","non-dropping-particle":"","parse-names":false,"suffix":""},{"dropping-particle":"","family":"Griffin","given":"Timothy S.","non-dropping-particle":"","parse-names":false,"suffix":""},{"dropping-particle":"","family":"Ingraham","given":"Peter","non-dropping-particle":"","parse-names":false,"suffix":""},{"dropping-particle":"","family":"Perry","given":"Apryl","non-dropping-particle":"","parse-names":false,"suffix":""},{"dropping-particle":"","family":"Varner","given":"Ruth K.","non-dropping-particle":"","parse-names":false,"suffix":""},{"dropping-particle":"","family":"Contosta","given":"Alexandra R.","non-dropping-particle":"","parse-names":false,"suffix":""}],"container-title":"Science of the Total Environment","id":"ITEM-3","issued":{"date-parts":[["2022"]]},"page":"e152195","title":"Initial soil conditions outweigh management in a cool-season dairy farm's carbon sequestration potential","type":"article-journal","volume":"809"},"uris":["http://www.mendeley.com/documents/?uuid=01a9ef9f-abde-437e-b4ee-f143e1aa394b"]}],"mendeley":{"formattedCitation":"(Arndt et al., 2022; Smith et al., 2014; W. Zhang et al., 2017)","manualFormatting":"(Arndt et al., 2022; Smith et al., 2014; Zhang et al., 2017)","plainTextFormattedCitation":"(Arndt et al., 2022; Smith et al., 2014; W. Zhang et al., 2017)","previouslyFormattedCitation":"(Arndt et al., 2022; Smith et al., 2014; W. Zhang et al., 2017)"},"properties":{"noteIndex":0},"schema":"https://github.com/citation-style-language/schema/raw/master/csl-citation.json"}</w:instrText>
      </w:r>
      <w:r w:rsidRPr="00C1362F">
        <w:rPr>
          <w:rFonts w:eastAsia="Arial"/>
          <w:sz w:val="24"/>
        </w:rPr>
        <w:fldChar w:fldCharType="separate"/>
      </w:r>
      <w:r w:rsidRPr="00C1362F">
        <w:rPr>
          <w:rFonts w:eastAsia="Arial"/>
          <w:noProof/>
          <w:sz w:val="24"/>
        </w:rPr>
        <w:t>(Arndt et al., 2022; Smith et al., 2014; Zhang et al., 2017)</w:t>
      </w:r>
      <w:r w:rsidRPr="00C1362F">
        <w:rPr>
          <w:rFonts w:eastAsia="Arial"/>
          <w:sz w:val="24"/>
        </w:rPr>
        <w:fldChar w:fldCharType="end"/>
      </w:r>
      <w:r w:rsidRPr="00C1362F">
        <w:rPr>
          <w:rFonts w:eastAsia="Arial"/>
          <w:sz w:val="24"/>
        </w:rPr>
        <w:t xml:space="preserve">. Adopting this approach necessitates the collection of </w:t>
      </w:r>
      <w:r>
        <w:rPr>
          <w:rFonts w:eastAsia="Arial"/>
          <w:sz w:val="24"/>
        </w:rPr>
        <w:t xml:space="preserve">detailed </w:t>
      </w:r>
      <w:r w:rsidRPr="00C1362F">
        <w:rPr>
          <w:rFonts w:eastAsia="Arial"/>
          <w:sz w:val="24"/>
        </w:rPr>
        <w:t xml:space="preserve">management data, which can be extremely difficult for large-scale rangeland monitoring efforts. Even though there has been a major push to automate the collection of management data through the use of RS, tracking animal numbers and movements remains challenging </w:t>
      </w:r>
      <w:r w:rsidRPr="00C1362F">
        <w:rPr>
          <w:rFonts w:eastAsia="Arial"/>
          <w:sz w:val="24"/>
        </w:rPr>
        <w:fldChar w:fldCharType="begin" w:fldLock="1"/>
      </w:r>
      <w:r>
        <w:rPr>
          <w:rFonts w:eastAsia="Arial"/>
          <w:sz w:val="24"/>
        </w:rPr>
        <w:instrText>ADDIN CSL_CITATION {"citationItems":[{"id":"ITEM-1","itemData":{"DOI":"10.1093/jpe/rtw005","ISSN":"1752993X","abstract":"Aims Grasslands are the world's most extensive terrestrial ecosystem, and are a major feed source for livestock. Meeting increasing demand for meat and other dairy products in a sustainable manner is a big challenge. At a field scale, Global Positioning System and groundbased sensor technologies provide promising tools for grassland and herd management with high precision. With the growth in availability of spaceborne remote sensing data, it is therefore important to revisit the relevant methods and applications that can exploit this imagery. In this article, we have reviewed the (i) current status of grassland monitoring/observation methods and applications based on satellite remote sensing data, (ii) the technological and methodological developments to retrieve different grassland biophysical parameters and management characteristics (i.e. degradation, grazing intensity) and (iii) identified the key remaining challenges and some new upcoming trends for future development. Important Findings The retrieval of grassland biophysical parameters have evolved in recent years from classical regression analysis to more complex, efficient and robust modeling approaches, driven by satellite data, and are likely to continue to be the most robust method for deriving grassland information, however these require more high quality calibration and validation data. We found that the hypertemporal satellite data are widely used for time series generation, and particularly to overcome cloud contamination issues, but the current low spatial resolution of these instruments precludes their use for field-scale application in many countries. This trend may change with the current rise in launch of satellite constellations, such as RapidEye, Sentinel-2 and even the microsatellites such as those operated by Skybox Imaging. Microwave imagery has not been widely used for grassland applications, and a better understanding of the backscatter behaviour from different phenological stages is needed for more reliable products in cloudy regions. The development of hyperspectral satellite instrumentation and analytical methods will help for more detailed discrimination of habitat types, and the development of tools for greater end-user operation.","author":[{"dropping-particle":"","family":"Ali","given":"Iftikhar","non-dropping-particle":"","parse-names":false,"suffix":""},{"dropping-particle":"","family":"Cawkwell","given":"Fiona","non-dropping-particle":"","parse-names":false,"suffix":""},{"dropping-particle":"","family":"Dwyer","given":"Edward","non-dropping-particle":"","parse-names":false,"suffix":""},{"dropping-particle":"","family":"Barrett","given":"Brian","non-dropping-particle":"","parse-names":false,"suffix":""},{"dropping-particle":"","family":"Green","given":"Stuart","non-dropping-particle":"","parse-names":false,"suffix":""}],"container-title":"Journal of Plant Ecology","id":"ITEM-1","issue":"6","issued":{"date-parts":[["2016"]]},"page":"649-671","title":"Satellite remote sensing of grasslands: From observation to management","type":"article-journal","volume":"9"},"uris":["http://www.mendeley.com/documents/?uuid=e9293e57-a0a2-4645-9145-58c59465f9ac"]},{"id":"ITEM-2","itemData":{"DOI":"10.1016/j.rse.2022.112888","ISSN":"00344257","abstract":"Information on grassland land-use intensity (LUI) is crucial for understanding trends and dynamics in biodiversity, ecosystem functioning, earth system science and environmental monitoring. LUI is a major driver for numerous environmental processes and indicators, such as primary production, nitrogen deposition and resilience to climate extremes. However, large extent, high resolution data on grassland LUI is rare. New satellite generations, such as Copernicus Sentinel-2, enable a spatially comprehensive detection of the mainly subtle changes induced by land-use intensification by their fine spatial and temporal resolution. We developed a methodology quantifying key parameters of grassland LUI such as grazing intensity, mowing frequency and fertiliser application across Germany using Convolutional Neural Networks (CNN) on Sentinel-2 satellite data with 20 m × 20 m spatial resolution. Subsequently, these land-use components were used to calculate a continuous LUI index. Predictions of LUI and its components were validated using comprehensive in situ grassland management data. A feature contribution analysis using Shapley values substantiates the applicability of the methodology by revealing a high relevance of springtime satellite observations and spectral bands related to vegetation health and structure. We achieved an overall classification accuracy of up to 66% for grazing intensity, 68% for mowing, 85% for fertilisation and an r2 of 0.82 for subsequently depicting LUI. We evaluated the methodology's robustness with a spatial 3-fold cross-validation by training and predicting on geographically distinctly separated regions. Spatial transferability was assessed by delineating the models' area of applicability. The presented methodology enables a high resolution, large extent mapping of land-use intensity of grasslands.","author":[{"dropping-particle":"","family":"Lange","given":"Maximilian","non-dropping-particle":"","parse-names":false,"suffix":""},{"dropping-particle":"","family":"Feilhauer","given":"Hannes","non-dropping-particle":"","parse-names":false,"suffix":""},{"dropping-particle":"","family":"Kühn","given":"Ingolf","non-dropping-particle":"","parse-names":false,"suffix":""},{"dropping-particle":"","family":"Doktor","given":"Daniel","non-dropping-particle":"","parse-names":false,"suffix":""}],"container-title":"Remote Sensing of Environment","id":"ITEM-2","issued":{"date-parts":[["2022"]]},"page":"e112888","title":"Mapping land-use intensity of grasslands in Germany with machine learning and Sentinel-2 time series","type":"article-journal","volume":"277"},"uris":["http://www.mendeley.com/documents/?uuid=681c5c18-d416-45c2-b389-96780e467e2c"]},{"id":"ITEM-3","itemData":{"DOI":"10.5194/bg-18-961-2021","ISSN":"17264189","abstract":"American bison (Bison bison L.) have recovered from the brink of extinction over the past century. Bison reintroduction creates multiple environmental benefits, but impacts on greenhouse gas emissions are poorly understood. Bison are thought to have produced some 2 Tg yr-1 of the estimated 9 15 Tg yr-1 of pre-industrial enteric methane emissions, but few measurements have been made due to their mobile grazing habits and safety issues associated with measuring non-domesticated animals. Here, we measure methane and carbon dioxide fluxes from a bison herd on an enclosed pasture during daytime periods in winter using eddy covariance. Methane emissions from the study area were negligible in the absence of bison (mean ± standard deviation = -0.0009 ± 0.008 μmol m-2 s-1) and were significantly greater than zero, 0.048 ± 0.082 μmol m-2 s-1, with a positively skewed distribution, when bison were present. We coupled bison location estimates from automated camera images with two independent flux footprint models to calculate a mean per-animal methane efflux of 58.5 μmol s-1 per bison, similar to eddy covariance measurements of methane efflux from a cattle feedlot during winter. When we sum the observations over time with conservative uncertainty estimates we arrive at 81 g CH4 per bison d-1 with 95 % confidence intervals between 54 and 109 g CH4 per bison d-1. Uncertainty was dominated by bison location estimates (46 % of the total uncertainty), then the flux footprint model (33 %) and the eddy covariance measurements (21 %), suggesting that making higher-resolution animal location estimates is a logical starting point for decreasing total uncertainty. Annual measurements are ultimately necessary to determine the full greenhouse gas burden of bison grazing systems. Our observations highlight the need to compare greenhouse gas emissions from different ruminant grazing systems and demonstrate the potential for using eddy covariance to measure methane efflux from non-domesticated animals.","author":[{"dropping-particle":"","family":"Stoy","given":"Paul C.","non-dropping-particle":"","parse-names":false,"suffix":""},{"dropping-particle":"","family":"Cook","given":"Adam A.","non-dropping-particle":"","parse-names":false,"suffix":""},{"dropping-particle":"","family":"Dore","given":"John E.","non-dropping-particle":"","parse-names":false,"suffix":""},{"dropping-particle":"","family":"Kljun","given":"Natascha","non-dropping-particle":"","parse-names":false,"suffix":""},{"dropping-particle":"","family":"Kleindl","given":"William","non-dropping-particle":"","parse-names":false,"suffix":""},{"dropping-particle":"","family":"Jack Brookshire","given":"E. N.","non-dropping-particle":"","parse-names":false,"suffix":""},{"dropping-particle":"","family":"Gerken","given":"Tobias","non-dropping-particle":"","parse-names":false,"suffix":""}],"container-title":"Biogeosciences","id":"ITEM-3","issue":"3","issued":{"date-parts":[["2021"]]},"page":"961-975","title":"Methane efflux from an American bison herd","type":"article-journal","volume":"18"},"uris":["http://www.mendeley.com/documents/?uuid=80e31b67-c803-45b8-ac0c-45d624b11daf"]}],"mendeley":{"formattedCitation":"(Ali et al., 2016; Lange et al., 2022; Stoy et al., 2021)","plainTextFormattedCitation":"(Ali et al., 2016; Lange et al., 2022; Stoy et al., 2021)","previouslyFormattedCitation":"(Ali et al., 2016; Lange et al., 2022; Stoy et al., 2021)"},"properties":{"noteIndex":0},"schema":"https://github.com/citation-style-language/schema/raw/master/csl-citation.json"}</w:instrText>
      </w:r>
      <w:r w:rsidRPr="00C1362F">
        <w:rPr>
          <w:rFonts w:eastAsia="Arial"/>
          <w:sz w:val="24"/>
        </w:rPr>
        <w:fldChar w:fldCharType="separate"/>
      </w:r>
      <w:r w:rsidRPr="00F371B0">
        <w:rPr>
          <w:rFonts w:eastAsia="Arial"/>
          <w:noProof/>
          <w:sz w:val="24"/>
        </w:rPr>
        <w:t>(Ali et al., 2016; Lange et al., 2022; Stoy et al., 2021)</w:t>
      </w:r>
      <w:r w:rsidRPr="00C1362F">
        <w:rPr>
          <w:rFonts w:eastAsia="Arial"/>
          <w:sz w:val="24"/>
        </w:rPr>
        <w:fldChar w:fldCharType="end"/>
      </w:r>
      <w:r w:rsidRPr="00C1362F">
        <w:rPr>
          <w:rFonts w:eastAsia="Arial"/>
          <w:sz w:val="24"/>
        </w:rPr>
        <w:t xml:space="preserve">. Current rangeland modeling efforts used to estimate management effects on SOC typically rely on the use of default parameters and model structures, such as those used in DAYCENT </w:t>
      </w:r>
      <w:r w:rsidRPr="00C1362F">
        <w:rPr>
          <w:rFonts w:eastAsia="Arial"/>
          <w:sz w:val="24"/>
        </w:rPr>
        <w:fldChar w:fldCharType="begin" w:fldLock="1"/>
      </w:r>
      <w:r w:rsidRPr="00C1362F">
        <w:rPr>
          <w:rFonts w:eastAsia="Arial"/>
          <w:sz w:val="24"/>
        </w:rPr>
        <w:instrText>ADDIN CSL_CITATION {"citationItems":[{"id":"ITEM-1","itemData":{"DOI":"10.1016/S0921-8181(98)00040-X","ISBN":"0921-8181","ISSN":"09218181","abstract":"A land surface submodel was developed for the dally version of the CENTURY ecosystem model (DAYCENT). The goal of DAYCENT to simulate soil N2O, NO(x), and CH4 fluxes for terrestrial ecosystems determined the structure and processes represented in the land surface model. The land surface model was set up to simulate daily dynamics of soil water and temperature from a multi-layered soil system (0-1, 1-4, 4-15, 15-30 cm, etc.) and included surface runoff and above field capacity soil water dynamics during intense rainfall events and snowmelt into frozen soils. The comparison of the simulated soil water content (0-10 cm) with observed data from four sites was quite favorable (squared correlation coefficient -??2= 0.87, 0.65, 0.86 and 0.58) and the simulated results were comparable for the soil temperature model (r2 = 0.92 and 0.95 for minimum and maximum 10 cm soil temperatures). Detailed soil water and temperature data during snowmelt time periods and following rainfall events are needed to fully evaluate the performance of the water flow model.","author":[{"dropping-particle":"","family":"Parton","given":"William J.","non-dropping-particle":"","parse-names":false,"suffix":""},{"dropping-particle":"","family":"Hartman","given":"Melannie","non-dropping-particle":"","parse-names":false,"suffix":""},{"dropping-particle":"","family":"Ojima","given":"Dennis","non-dropping-particle":"","parse-names":false,"suffix":""},{"dropping-particle":"","family":"Schimel","given":"David","non-dropping-particle":"","parse-names":false,"suffix":""}],"container-title":"Global and Planetary Change","id":"ITEM-1","issue":"1-4","issued":{"date-parts":[["1998"]]},"page":"35-48","publisher":"Elsevier\\","title":"DAYCENT and its land surface submodel: Description and testing","type":"article","volume":"19"},"uris":["http://www.mendeley.com/documents/?uuid=d62e251e-af40-44d6-84bf-69ecb83678d2"]},{"id":"ITEM-2","itemData":{"DOI":"10.1016/j.agee.2015.07.014","ISSN":"01678809","author":[{"dropping-particle":"","family":"Chang","given":"Xiaofeng","non-dropping-particle":"","parse-names":false,"suffix":""},{"dropping-particle":"","family":"Bao","given":"Xiaoying","non-dropping-particle":"","parse-names":false,"suffix":""},{"dropping-particle":"","family":"Wang","given":"Shiping","non-dropping-particle":"","parse-names":false,"suffix":""},{"dropping-particle":"","family":"Wilkes","given":"Andreas","non-dropping-particle":"","parse-names":false,"suffix":""},{"dropping-particle":"","family":"Erdenetsetseg","given":"Baasandai","non-dropping-particle":"","parse-names":false,"suffix":""},{"dropping-particle":"","family":"Baival","given":"Batkhishig","non-dropping-particle":"","parse-names":false,"suffix":""},{"dropping-particle":"","family":"Avaadorj","given":"Danzan-osor","non-dropping-particle":"","parse-names":false,"suffix":""},{"dropping-particle":"","family":"Maisaikhan","given":"Temuujin","non-dropping-particle":"","parse-names":false,"suffix":""},{"dropping-particle":"","family":"Damdinsuren","given":"Bolormaa","non-dropping-particle":"","parse-names":false,"suffix":""}],"container-title":"Agriculture, Ecosystems &amp; Environment","id":"ITEM-2","issued":{"date-parts":[["2015","12"]]},"page":"278-284","title":"Simulating effects of grazing on soil organic carbon stocks in Mongolian grasslands","type":"article-journal","volume":"212"},"uris":["http://www.mendeley.com/documents/?uuid=f1899f9e-4d7b-4a25-863f-a0104538d6ef"]}],"mendeley":{"formattedCitation":"(Chang et al., 2015; Parton et al., 1998)","plainTextFormattedCitation":"(Chang et al., 2015; Parton et al., 1998)","previouslyFormattedCitation":"(Chang et al., 2015; Parton et al., 1998)"},"properties":{"noteIndex":0},"schema":"https://github.com/citation-style-language/schema/raw/master/csl-citation.json"}</w:instrText>
      </w:r>
      <w:r w:rsidRPr="00C1362F">
        <w:rPr>
          <w:rFonts w:eastAsia="Arial"/>
          <w:sz w:val="24"/>
        </w:rPr>
        <w:fldChar w:fldCharType="separate"/>
      </w:r>
      <w:r w:rsidRPr="00C1362F">
        <w:rPr>
          <w:rFonts w:eastAsia="Arial"/>
          <w:noProof/>
          <w:sz w:val="24"/>
        </w:rPr>
        <w:t>(Chang et al., 2015; Parton et al., 1998)</w:t>
      </w:r>
      <w:r w:rsidRPr="00C1362F">
        <w:rPr>
          <w:rFonts w:eastAsia="Arial"/>
          <w:sz w:val="24"/>
        </w:rPr>
        <w:fldChar w:fldCharType="end"/>
      </w:r>
      <w:r w:rsidRPr="00C1362F">
        <w:rPr>
          <w:rFonts w:eastAsia="Arial"/>
          <w:sz w:val="24"/>
        </w:rPr>
        <w:t xml:space="preserve">, Denitrification-Decomposition (DNDC) </w:t>
      </w:r>
      <w:r w:rsidRPr="00C1362F">
        <w:rPr>
          <w:rFonts w:eastAsia="Arial"/>
          <w:sz w:val="24"/>
        </w:rPr>
        <w:fldChar w:fldCharType="begin" w:fldLock="1"/>
      </w:r>
      <w:r w:rsidRPr="00C1362F">
        <w:rPr>
          <w:rFonts w:eastAsia="Arial"/>
          <w:sz w:val="24"/>
        </w:rPr>
        <w:instrText>ADDIN CSL_CITATION {"citationItems":[{"id":"ITEM-1","itemData":{"DOI":"10.1029/94GB00767","ISSN":"08866236","author":[{"dropping-particle":"","family":"Li","given":"Changsheng","non-dropping-particle":"","parse-names":false,"suffix":""},{"dropping-particle":"","family":"Frolking","given":"Steve","non-dropping-particle":"","parse-names":false,"suffix":""},{"dropping-particle":"","family":"Harriss","given":"Robert","non-dropping-particle":"","parse-names":false,"suffix":""}],"container-title":"Global Biogeochemical Cycles","id":"ITEM-1","issue":"3","issued":{"date-parts":[["1994","9"]]},"page":"237-254","title":"Modeling carbon biogeochemistry in agricultural soils","type":"article-journal","volume":"8"},"uris":["http://www.mendeley.com/documents/?uuid=f24fc64c-8e7e-4b8f-87e9-7374cd2e01d5"]},{"id":"ITEM-2","itemData":{"DOI":"10.1016/j.gecco.2022.e02039","ISSN":"23519894","abstract":"The soil organic carbon (SOC) of grasslands is a vital component of the global carbon cycle. The SOC in grassland ecosystems in arid and semi-arid regions is sensitive to global climate change, but the dynamic drivers of the SOC content are still controversial. Grazing is the main factor affecting SOC contents in grasslands; however, the response of different types of grasslands to the grazing intensity remains unclear. Based on the Denitrification-Decomposition model and field investigations, in this study, the spatial and temporal dynamics of SOC and its drivers in the grasslands in Northern Xinjiang were investigated, and the response of the SOC in the different types of grasslands to various grazing intensities at the regional scale. The results reveal that the SOC content of the grasslands in Northern Xinjiang increased at a rate of 161.32 kg C ha−1 yr−1 from 2001 to 2020, and the spatial distribution of the SOC dynamics varied greatly. There was an increasing trend at higher elevations and a decreasing trend at lower elevations. Grazing contributed less to the SOC dynamics, and temperature and precipitation were the main drivers of the SOC dynamics. The overall effect of the grazing intensity on SOC content was negative. The responses of the different types of grassland to the grazing intensity varied greatly, with the least effect in alpine meadows and the greatest effect in lowland meadows and temperate desert grasslands.","author":[{"dropping-particle":"","family":"Wang","given":"Guangyu","non-dropping-particle":"","parse-names":false,"suffix":""},{"dropping-particle":"","family":"Mao","given":"Jiefei","non-dropping-particle":"","parse-names":false,"suffix":""},{"dropping-particle":"","family":"Fan","given":"Lianlian","non-dropping-particle":"","parse-names":false,"suffix":""},{"dropping-particle":"","family":"Ma","given":"Xuexi","non-dropping-particle":"","parse-names":false,"suffix":""},{"dropping-particle":"","family":"Li","given":"Yaoming","non-dropping-particle":"","parse-names":false,"suffix":""}],"container-title":"Global Ecology and Conservation","id":"ITEM-2","issued":{"date-parts":[["2022"]]},"page":"e02039","title":"Effects of climate and grazing on the soil organic carbon dynamics of the grasslands in Northern Xinjiang during the past twenty years","type":"article-journal","volume":"34"},"uris":["http://www.mendeley.com/documents/?uuid=9bd41280-8494-4fde-b0b6-2463e03989f6"]}],"mendeley":{"formattedCitation":"(C. Li et al., 1994; G. Wang et al., 2022)","manualFormatting":"(Li et al., 1994; Wang et al., 2022)","plainTextFormattedCitation":"(C. Li et al., 1994; G. Wang et al., 2022)","previouslyFormattedCitation":"(C. Li et al., 1994; G. Wang et al., 2022)"},"properties":{"noteIndex":0},"schema":"https://github.com/citation-style-language/schema/raw/master/csl-citation.json"}</w:instrText>
      </w:r>
      <w:r w:rsidRPr="00C1362F">
        <w:rPr>
          <w:rFonts w:eastAsia="Arial"/>
          <w:sz w:val="24"/>
        </w:rPr>
        <w:fldChar w:fldCharType="separate"/>
      </w:r>
      <w:r w:rsidRPr="00C1362F">
        <w:rPr>
          <w:rFonts w:eastAsia="Arial"/>
          <w:noProof/>
          <w:sz w:val="24"/>
        </w:rPr>
        <w:t>(Li et al., 1994; Wang et al., 2022)</w:t>
      </w:r>
      <w:r w:rsidRPr="00C1362F">
        <w:rPr>
          <w:rFonts w:eastAsia="Arial"/>
          <w:sz w:val="24"/>
        </w:rPr>
        <w:fldChar w:fldCharType="end"/>
      </w:r>
      <w:r w:rsidRPr="00C1362F">
        <w:rPr>
          <w:rFonts w:eastAsia="Arial"/>
          <w:sz w:val="24"/>
        </w:rPr>
        <w:t xml:space="preserve">, or Rothamsted Carbon (RothC) </w:t>
      </w:r>
      <w:r w:rsidRPr="00C1362F">
        <w:rPr>
          <w:rFonts w:eastAsia="Arial"/>
          <w:sz w:val="24"/>
        </w:rPr>
        <w:fldChar w:fldCharType="begin" w:fldLock="1"/>
      </w:r>
      <w:r w:rsidRPr="00C1362F">
        <w:rPr>
          <w:rFonts w:eastAsia="Arial"/>
          <w:sz w:val="24"/>
        </w:rPr>
        <w:instrText>ADDIN CSL_CITATION {"citationItems":[{"id":"ITEM-1","itemData":{"DOI":"https://doi.org/10.1007/978-3-642-61094-3_17","author":[{"dropping-particle":"","family":"Coleman","given":"K.","non-dropping-particle":"","parse-names":false,"suffix":""},{"dropping-particle":"","family":"Jenkinson","given":"D. S","non-dropping-particle":"","parse-names":false,"suffix":""}],"container-title":"Evaluation of soil organic matter models: using existing long-term datasets","editor":[{"dropping-particle":"","family":"Powlson","given":"D.S.","non-dropping-particle":"","parse-names":false,"suffix":""},{"dropping-particle":"","family":"Smith","given":"P.","non-dropping-particle":"","parse-names":false,"suffix":""},{"dropping-particle":"","family":"Smith","given":"J.U.","non-dropping-particle":"","parse-names":false,"suffix":""}],"id":"ITEM-1","issued":{"date-parts":[["1996"]]},"page":"237-246","publisher":"Springer","publisher-place":"Berlin, Germany","title":"RothC-26.3-A Model for the turnover of carbon in soil","type":"chapter"},"uris":["http://www.mendeley.com/documents/?uuid=23741915-7cb0-43d0-acc8-f219cf95fdb4"]},{"id":"ITEM-2","itemData":{"DOI":"10.1371/journal.pone.0256219","ISSN":"1932-6203","abstract":"Temperate grassland soils store significant amounts of carbon (C). Estimating how much livestock grazing and manuring can influence grassland soil organic carbon (SOC) is key to improve greenhouse gas grassland budgets. The Rothamsted Carbon (RothC) model, although originally developed and parameterized to model the turnover of organic C in arable topsoil, has been widely used, with varied success, to estimate SOC changes in grassland under different climates, soils, and management conditions. In this paper, we hypothesise that RothC-based SOC predictions in managed grasslands under temperate moist climatic conditions can be improved by incorporating small modifications to the model based on existing field data from diverse experimental locations in Europe. For this, we described and evaluated changes at the level of: (1) the soil water function of RothC, (2) entry pools accounting for the degradability of the exogenous organic matter (EOM) applied (e.g., ruminant excreta), (3) the month-on-month change in the quality of C inputs coming from plant residues (i.e above-, below-ground plant residue and rhizodeposits), and (4) the livestock trampling effect (i.e., poaching damage) as a common problem in areas with higher annual precipitation. In order to evaluate the potential utility of these changes, we performed a simple sensitivity analysis and tested the model predictions against averaged data from four grassland experiments in Europe. Our evaluation showed that the default model’s performance was 78% and whereas some of the modifications seemed to improve RothC SOC predictions (model performance of 95% and 86% for soil water function and plant residues, respectively), others did not lead to any/or almost any improvement (model performance of 80 and 46% for the change in the C input quality and livestock trampling, respectively). We concluded that, whereas adding more complexity to the RothC model by adding the livestock trampling would actually not improve the model, adding the modified soil water function and plant residue components, and at a lesser extent residues quality, could improve predictability of the RothC in managed grasslands under temperate moist climatic conditions.","author":[{"dropping-particle":"","family":"Jebari","given":"Asma","non-dropping-particle":"","parse-names":false,"suffix":""},{"dropping-particle":"","family":"Álvaro-Fuentes","given":"Jorge","non-dropping-particle":"","parse-names":false,"suffix":""},{"dropping-particle":"","family":"Pardo","given":"Guillermo","non-dropping-particle":"","parse-names":false,"suffix":""},{"dropping-particle":"","family":"Almagro","given":"María","non-dropping-particle":"","parse-names":false,"suffix":""},{"dropping-particle":"","family":"Prado","given":"Agustin","non-dropping-particle":"del","parse-names":false,"suffix":""}],"container-title":"PLOS ONE","editor":[{"dropping-particle":"","family":"Paradelo Núñez","given":"Remigio","non-dropping-particle":"","parse-names":false,"suffix":""}],"id":"ITEM-2","issue":"8","issued":{"date-parts":[["2021","8","20"]]},"page":"e0256219","title":"Estimating soil organic carbon changes in managed temperate moist grasslands with RothC","type":"article-journal","volume":"16"},"uris":["http://www.mendeley.com/documents/?uuid=74e0296f-374f-4704-a0d9-93c066c0c227"]}],"mendeley":{"formattedCitation":"(Coleman &amp; Jenkinson, 1996; Jebari et al., 2021)","plainTextFormattedCitation":"(Coleman &amp; Jenkinson, 1996; Jebari et al., 2021)","previouslyFormattedCitation":"(Coleman &amp; Jenkinson, 1996; Jebari et al., 2021)"},"properties":{"noteIndex":0},"schema":"https://github.com/citation-style-language/schema/raw/master/csl-citation.json"}</w:instrText>
      </w:r>
      <w:r w:rsidRPr="00C1362F">
        <w:rPr>
          <w:rFonts w:eastAsia="Arial"/>
          <w:sz w:val="24"/>
        </w:rPr>
        <w:fldChar w:fldCharType="separate"/>
      </w:r>
      <w:r w:rsidRPr="00C1362F">
        <w:rPr>
          <w:rFonts w:eastAsia="Arial"/>
          <w:noProof/>
          <w:sz w:val="24"/>
        </w:rPr>
        <w:t>(Coleman &amp; Jenkinson, 1996; Jebari et al., 2021)</w:t>
      </w:r>
      <w:r w:rsidRPr="00C1362F">
        <w:rPr>
          <w:rFonts w:eastAsia="Arial"/>
          <w:sz w:val="24"/>
        </w:rPr>
        <w:fldChar w:fldCharType="end"/>
      </w:r>
      <w:r w:rsidRPr="00C1362F">
        <w:rPr>
          <w:rFonts w:eastAsia="Arial"/>
          <w:sz w:val="24"/>
        </w:rPr>
        <w:t xml:space="preserve"> because there is a general lack of calibration and validation data suited to represent specific management scenarios (e.g., adaptive grazing practices). </w:t>
      </w:r>
      <w:r>
        <w:rPr>
          <w:rFonts w:eastAsia="Arial"/>
          <w:sz w:val="24"/>
        </w:rPr>
        <w:t>D</w:t>
      </w:r>
      <w:r w:rsidRPr="00B76EA6">
        <w:rPr>
          <w:rFonts w:eastAsia="Arial"/>
          <w:sz w:val="24"/>
        </w:rPr>
        <w:t>ue to data limitations</w:t>
      </w:r>
      <w:r>
        <w:rPr>
          <w:rFonts w:eastAsia="Arial"/>
          <w:sz w:val="24"/>
        </w:rPr>
        <w:t xml:space="preserve">, their efforts </w:t>
      </w:r>
      <w:r w:rsidRPr="00B76EA6">
        <w:rPr>
          <w:rFonts w:eastAsia="Arial"/>
          <w:sz w:val="24"/>
        </w:rPr>
        <w:t>cannot fully account for system variability</w:t>
      </w:r>
      <w:r>
        <w:rPr>
          <w:rFonts w:eastAsia="Arial"/>
          <w:sz w:val="24"/>
        </w:rPr>
        <w:t xml:space="preserve"> and generate predictions at the scale that is relevant to management.</w:t>
      </w:r>
    </w:p>
    <w:p w14:paraId="12B22079" w14:textId="77777777" w:rsidR="00400029" w:rsidRPr="00C1362F" w:rsidRDefault="00400029" w:rsidP="00400029">
      <w:pPr>
        <w:spacing w:before="120"/>
        <w:ind w:firstLine="720"/>
        <w:jc w:val="both"/>
        <w:rPr>
          <w:rFonts w:eastAsia="Arial"/>
          <w:sz w:val="24"/>
        </w:rPr>
      </w:pPr>
      <w:r w:rsidRPr="00C1362F">
        <w:rPr>
          <w:rFonts w:eastAsia="Arial"/>
          <w:sz w:val="24"/>
        </w:rPr>
        <w:t xml:space="preserve">The RS-driven </w:t>
      </w:r>
      <w:r>
        <w:rPr>
          <w:rFonts w:eastAsia="Arial"/>
          <w:sz w:val="24"/>
        </w:rPr>
        <w:t xml:space="preserve">process-based modeling </w:t>
      </w:r>
      <w:r w:rsidRPr="00C1362F">
        <w:rPr>
          <w:rFonts w:eastAsia="Arial"/>
          <w:sz w:val="24"/>
        </w:rPr>
        <w:t>approach is particularly helpful in situations where management dat</w:t>
      </w:r>
      <w:r>
        <w:rPr>
          <w:rFonts w:eastAsia="Arial"/>
          <w:sz w:val="24"/>
        </w:rPr>
        <w:t>asets</w:t>
      </w:r>
      <w:r w:rsidRPr="00C1362F">
        <w:rPr>
          <w:rFonts w:eastAsia="Arial"/>
          <w:sz w:val="24"/>
        </w:rPr>
        <w:t xml:space="preserve"> </w:t>
      </w:r>
      <w:r>
        <w:rPr>
          <w:rFonts w:eastAsia="Arial"/>
          <w:sz w:val="24"/>
        </w:rPr>
        <w:t>are</w:t>
      </w:r>
      <w:r w:rsidRPr="00C1362F">
        <w:rPr>
          <w:rFonts w:eastAsia="Arial"/>
          <w:sz w:val="24"/>
        </w:rPr>
        <w:t xml:space="preserve"> unavailable or scarce, because RS data can be used as a proxy for vegetation productivity and growth, </w:t>
      </w:r>
      <w:r>
        <w:rPr>
          <w:rFonts w:eastAsia="Arial"/>
          <w:sz w:val="24"/>
        </w:rPr>
        <w:t>due to</w:t>
      </w:r>
      <w:r w:rsidRPr="00C1362F">
        <w:rPr>
          <w:rFonts w:eastAsia="Arial"/>
          <w:sz w:val="24"/>
        </w:rPr>
        <w:t xml:space="preserve"> the close association between plant biomass and RS </w:t>
      </w:r>
      <w:r>
        <w:rPr>
          <w:rFonts w:eastAsia="Arial"/>
          <w:sz w:val="24"/>
        </w:rPr>
        <w:t>spectral bands or multi-band indices</w:t>
      </w:r>
      <w:r w:rsidRPr="00C1362F">
        <w:rPr>
          <w:rFonts w:eastAsia="Arial"/>
          <w:sz w:val="24"/>
        </w:rPr>
        <w:t xml:space="preserve"> </w:t>
      </w:r>
      <w:r w:rsidRPr="00C1362F">
        <w:rPr>
          <w:rFonts w:eastAsia="Arial"/>
          <w:sz w:val="24"/>
        </w:rPr>
        <w:fldChar w:fldCharType="begin" w:fldLock="1"/>
      </w:r>
      <w:r w:rsidRPr="00C1362F">
        <w:rPr>
          <w:rFonts w:eastAsia="Arial"/>
          <w:sz w:val="24"/>
        </w:rPr>
        <w:instrText>ADDIN CSL_CITATION {"citationItems":[{"id":"ITEM-1","itemData":{"DOI":"10.1080/01431160802036276","ISSN":"13665901","abstract":"Monitoring grassland production is of great importance for utilizing and administering grassland, developing pasturage and improving the ecological environment. Using Moderate Resolution Imaging Spectroradiometer (MODIS) data and ground truth data for the six grassland regions of China, regional models were established to estimate the grassland production in 2005. The Normalized Difference Vegetation Index (NDVI) was first computed from the MODIS data. Ground truth data were obtained from a large-scale field investigation in 2005. The following results were obtained: (1) total hay output from the grassland in China was 294 214 thousand tons in 2005, with an average yield of 830 kg/ha. (2) There were three regions with high grass productivity in 2005: the grassland covering Hulunbuir, Xilinhaote and the western Daxing'anling; the region including eastern Qinghai, northwestern Sichuan and mid-southern Gansu; and the northwestern Xinjiang region. (3) Grassland production for the whole of China in August 2005 remained at the same level as that in August 2004. However, the situation in the major grassland provinces was different: grass production in 2005 in both Qinghai and Gansu increased by 9% and 4%, respectively, when compared with that in 2004. Grass production in Inner Mongolia decreased by 3%, while the production in Liaoning, Xinjiang and Sichuan remained unchanged in comparison to that in 2004. (4) The models based on the six regions are the most suitable for monitoring grass production in China and can meet the need of estimating of grass productivity. The results are very important for grassland administration, pasture grazing and grassland ecosystem studies in China. © 2008 Taylor &amp; Francis.","author":[{"dropping-particle":"","family":"Xu","given":"B.","non-dropping-particle":"","parse-names":false,"suffix":""},{"dropping-particle":"","family":"Yang","given":"X. C.","non-dropping-particle":"","parse-names":false,"suffix":""},{"dropping-particle":"","family":"Tao","given":"W. G.","non-dropping-particle":"","parse-names":false,"suffix":""},{"dropping-particle":"","family":"Qin","given":"Z. H.","non-dropping-particle":"","parse-names":false,"suffix":""},{"dropping-particle":"","family":"Liu","given":"H. Q.","non-dropping-particle":"","parse-names":false,"suffix":""},{"dropping-particle":"","family":"Miao","given":"J. M.","non-dropping-particle":"","parse-names":false,"suffix":""},{"dropping-particle":"","family":"Bi","given":"Y. Y.","non-dropping-particle":"","parse-names":false,"suffix":""}],"container-title":"International Journal of Remote Sensing","id":"ITEM-1","issue":"17-18","issued":{"date-parts":[["2008"]]},"page":"5313-5327","title":"Modis-based remote sensing monitoring of grass production in China","type":"article-journal","volume":"29"},"uris":["http://www.mendeley.com/documents/?uuid=ca87001f-0e41-4cf7-9cf6-88852f70f3f7"]},{"id":"ITEM-2","itemData":{"DOI":"10.1080/15481603.2016.1221576","ISSN":"1548-1603","author":[{"dropping-particle":"","family":"Sibanda","given":"Mbulisi","non-dropping-particle":"","parse-names":false,"suffix":""},{"dropping-particle":"","family":"Mutanga","given":"Onisimo","non-dropping-particle":"","parse-names":false,"suffix":""},{"dropping-particle":"","family":"Rouget","given":"Mathieu","non-dropping-particle":"","parse-names":false,"suffix":""}],"container-title":"GIScience &amp; Remote Sensing","id":"ITEM-2","issue":"5","issued":{"date-parts":[["2016","9","2"]]},"page":"614-633","title":"Comparing the spectral settings of the new generation broad and narrow band sensors in estimating biomass of native grasses grown under different management practices","type":"article-journal","volume":"53"},"uris":["http://www.mendeley.com/documents/?uuid=c2528bc8-c1d6-43e5-96bb-520af1042fc3"]},{"id":"ITEM-3","itemData":{"DOI":"10.1016/j.rse.2007.01.013","ISSN":"00344257","abstract":"Remote sensing has the potential of improving our ability to map and monitor pasture degradation. Pasture degradation is one of the most important problems in the Amazon, yet the manner in which grazing intensity, edaphic conditions and land-use age impact pasture biophysical properties, and our ability to monitor them using remote sensing is poorly known. We evaluate the connection between field grass biophysical measures and remote sensing, and investigate the impact of grazing intensity on pasture biophysical measures in Rondônia, in the Brazilian Amazon. Above ground biomass, canopy water content and height were measured in different pasture sites during the dry season. Using Landsat Thematic Mapper (TM) data, four spectral vegetation indices and fractions derived from spectral mixture analysis, i.e., Non-Photosynthetic Vegetation (NPV), Green Vegetation (GV), Soil, Shade, and NPV + Soil, were calculated and compared to field grass measures. For grazed pastures under dry conditions, the Normalized Difference Infrared Index (NDII5 and NDII7), had higher correlations with the biophysical measures than the Normalized Difference Vegetation Index (NDVI) and the Soil-Adjusted Vegetation Index (SAVI). NPV had the highest correlations with all field measures, suggesting this fraction is a good indicator of pasture characteristics in Rondônia. Pasture height was correlated to the Shade fraction. A conceptual model was built for pasture biophysical change using three fractions, i.e., NPV, Shade and GV to characterize possible pasture degradation processes in Rondônia. Based upon field measures, grazing intensity had the most significant impact on pasture biophysical properties compared to soil order and land-use age. The impact of grazing on pastures in the dry season could be potentially measured by using remotely sensed measures such as NPV. © 2007 Elsevier Inc. All rights reserved.","author":[{"dropping-particle":"","family":"Numata","given":"Izaya","non-dropping-particle":"","parse-names":false,"suffix":""},{"dropping-particle":"","family":"Roberts","given":"Dar A.","non-dropping-particle":"","parse-names":false,"suffix":""},{"dropping-particle":"","family":"Chadwick","given":"Oliver A.","non-dropping-particle":"","parse-names":false,"suffix":""},{"dropping-particle":"","family":"Schimel","given":"Josh","non-dropping-particle":"","parse-names":false,"suffix":""},{"dropping-particle":"","family":"Sampaio","given":"Fernando R.","non-dropping-particle":"","parse-names":false,"suffix":""},{"dropping-particle":"","family":"Leonidas","given":"Francisco C.","non-dropping-particle":"","parse-names":false,"suffix":""},{"dropping-particle":"V.","family":"Soares","given":"João","non-dropping-particle":"","parse-names":false,"suffix":""}],"container-title":"Remote Sensing of Environment","id":"ITEM-3","issue":"3","issued":{"date-parts":[["2007"]]},"page":"314-327","title":"Characterization of pasture biophysical properties and the impact of grazing intensity using remotely sensed data","type":"article-journal","volume":"109"},"uris":["http://www.mendeley.com/documents/?uuid=e0b52be1-116d-43a7-9aec-593ea5f9e12a"]}],"mendeley":{"formattedCitation":"(Numata et al., 2007; Sibanda et al., 2016; Xu et al., 2008)","plainTextFormattedCitation":"(Numata et al., 2007; Sibanda et al., 2016; Xu et al., 2008)","previouslyFormattedCitation":"(Numata et al., 2007; Sibanda et al., 2016; Xu et al., 2008)"},"properties":{"noteIndex":0},"schema":"https://github.com/citation-style-language/schema/raw/master/csl-citation.json"}</w:instrText>
      </w:r>
      <w:r w:rsidRPr="00C1362F">
        <w:rPr>
          <w:rFonts w:eastAsia="Arial"/>
          <w:sz w:val="24"/>
        </w:rPr>
        <w:fldChar w:fldCharType="separate"/>
      </w:r>
      <w:r w:rsidRPr="00C1362F">
        <w:rPr>
          <w:rFonts w:eastAsia="Arial"/>
          <w:noProof/>
          <w:sz w:val="24"/>
        </w:rPr>
        <w:t>(Numata et al., 2007; Sibanda et al., 2016; Xu et al., 2008)</w:t>
      </w:r>
      <w:r w:rsidRPr="00C1362F">
        <w:rPr>
          <w:rFonts w:eastAsia="Arial"/>
          <w:sz w:val="24"/>
        </w:rPr>
        <w:fldChar w:fldCharType="end"/>
      </w:r>
      <w:r w:rsidRPr="00C1362F">
        <w:rPr>
          <w:rFonts w:eastAsia="Arial"/>
          <w:sz w:val="24"/>
        </w:rPr>
        <w:t xml:space="preserve">. Moreover, RS datasets can provide more refined information regarding spatial variability, which would be difficult to capture using management datasets. Utilizing RS for rangeland monitoring assumes that RS can adequately capture management effects via changes in plant cover and productivity. However, there is significant uncertainty regarding the efficacy of RS to capture management, </w:t>
      </w:r>
      <w:r>
        <w:rPr>
          <w:rFonts w:eastAsia="Arial"/>
          <w:sz w:val="24"/>
        </w:rPr>
        <w:t>so</w:t>
      </w:r>
      <w:r w:rsidRPr="00C1362F">
        <w:rPr>
          <w:rFonts w:eastAsia="Arial"/>
          <w:sz w:val="24"/>
        </w:rPr>
        <w:t xml:space="preserve"> ground-truth data is </w:t>
      </w:r>
      <w:r>
        <w:rPr>
          <w:rFonts w:eastAsia="Arial"/>
          <w:sz w:val="24"/>
        </w:rPr>
        <w:t>crucial for</w:t>
      </w:r>
      <w:r w:rsidRPr="00C1362F">
        <w:rPr>
          <w:rFonts w:eastAsia="Arial"/>
          <w:sz w:val="24"/>
        </w:rPr>
        <w:t xml:space="preserve"> </w:t>
      </w:r>
      <w:r>
        <w:rPr>
          <w:rFonts w:eastAsia="Arial"/>
          <w:sz w:val="24"/>
        </w:rPr>
        <w:t>the parameterization</w:t>
      </w:r>
      <w:r w:rsidRPr="00C1362F">
        <w:rPr>
          <w:rFonts w:eastAsia="Arial"/>
          <w:sz w:val="24"/>
        </w:rPr>
        <w:t xml:space="preserve"> and evaluat</w:t>
      </w:r>
      <w:r>
        <w:rPr>
          <w:rFonts w:eastAsia="Arial"/>
          <w:sz w:val="24"/>
        </w:rPr>
        <w:t>ion of</w:t>
      </w:r>
      <w:r w:rsidRPr="00C1362F">
        <w:rPr>
          <w:rFonts w:eastAsia="Arial"/>
          <w:sz w:val="24"/>
        </w:rPr>
        <w:t xml:space="preserve"> RS-driven models for rangeland monitoring </w:t>
      </w:r>
      <w:r w:rsidRPr="00C1362F">
        <w:rPr>
          <w:rFonts w:eastAsia="Arial"/>
          <w:sz w:val="24"/>
        </w:rPr>
        <w:fldChar w:fldCharType="begin" w:fldLock="1"/>
      </w:r>
      <w:r w:rsidRPr="00C1362F">
        <w:rPr>
          <w:rFonts w:eastAsia="Arial"/>
          <w:sz w:val="24"/>
        </w:rPr>
        <w:instrText>ADDIN CSL_CITATION {"citationItems":[{"id":"ITEM-1","itemData":{"DOI":"10.3390/rs12121949","ISSN":"20724292","abstract":"Grasslands cover one third of the earth's terrestrial surface and are mainly used for livestock production. The usage type, use intensity and condition of grasslands are often unclear. Remote sensing enables the analysis of grassland production and management on large spatial scales and with high temporal resolution. Despite growing numbers of studies in the field, remote sensing applications in grassland biomes are underrepresented in literature and less streamlined compared to other vegetation types. By reviewing articles within research on satellite-based remote sensing of grassland production traits and management, we describe and evaluate methods and results and reveal spatial and temporal patterns of existing work. In addition, we highlight research gaps and suggest research opportunities. The focus is on managed grasslands and pastures and special emphasize is given to the assessment of studies on grazing intensity and mowing detection based on earth observation data. Grazing and mowing highly influence the production and ecology of grassland and are major grassland management types. In total, 253 research articles were reviewed. The majority of these studies focused on grassland production traits and only 80 articles were about grassland management and use intensity. While the remote sensing-based analysis of grassland production heavily relied on empirical relationships between ground-truth and satellite data or radiation transfer models, the used methods to detect and investigate grassland management differed. In addition, this review identified that studies on grassland production traits with satellite data often lacked including spatial management information into the analyses. Studies focusing on grassland management and use intensity mostly investigated rather small study areas with homogeneous intensity levels among the grassland parcels. Combining grassland production estimations with management information, while accounting for the variability among grasslands, is recommended to facilitate the development of large-scale continuous monitoring and remote sensing grassland products, which have been rare thus far.","author":[{"dropping-particle":"","family":"Reinermann","given":"Sophie","non-dropping-particle":"","parse-names":false,"suffix":""},{"dropping-particle":"","family":"Asam","given":"Sarah","non-dropping-particle":"","parse-names":false,"suffix":""},{"dropping-particle":"","family":"Kuenzer","given":"Claudia","non-dropping-particle":"","parse-names":false,"suffix":""}],"container-title":"Remote Sensing","id":"ITEM-1","issue":"12","issued":{"date-parts":[["2020"]]},"page":"e1949","title":"Remote sensing of grassland production and management-A review","type":"article-journal","volume":"12"},"uris":["http://www.mendeley.com/documents/?uuid=96aec5b9-2f79-4e7d-a791-3071d2db6953"]}],"mendeley":{"formattedCitation":"(Reinermann et al., 2020)","plainTextFormattedCitation":"(Reinermann et al., 2020)","previouslyFormattedCitation":"(Reinermann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(Reinermann et al., 2020)</w:t>
      </w:r>
      <w:r w:rsidRPr="00C1362F">
        <w:rPr>
          <w:rFonts w:eastAsia="Arial"/>
          <w:sz w:val="24"/>
        </w:rPr>
        <w:fldChar w:fldCharType="end"/>
      </w:r>
      <w:r w:rsidRPr="00C1362F">
        <w:rPr>
          <w:rFonts w:eastAsia="Arial"/>
          <w:sz w:val="24"/>
        </w:rPr>
        <w:t>. Large datasets collected through network-based measurements, such as flux tower-based observations of C fluxes and</w:t>
      </w:r>
      <w:r>
        <w:rPr>
          <w:rFonts w:eastAsia="Arial"/>
          <w:sz w:val="24"/>
        </w:rPr>
        <w:t xml:space="preserve"> field-based measurements of</w:t>
      </w:r>
      <w:r w:rsidRPr="00C1362F">
        <w:rPr>
          <w:rFonts w:eastAsia="Arial"/>
          <w:sz w:val="24"/>
        </w:rPr>
        <w:t xml:space="preserve"> SOC stocks </w:t>
      </w:r>
      <w:r w:rsidRPr="00C1362F">
        <w:rPr>
          <w:rFonts w:eastAsia="Arial"/>
          <w:sz w:val="24"/>
        </w:rPr>
        <w:fldChar w:fldCharType="begin" w:fldLock="1"/>
      </w:r>
      <w:r>
        <w:rPr>
          <w:rFonts w:eastAsia="Arial"/>
          <w:sz w:val="24"/>
        </w:rPr>
        <w:instrText>ADDIN CSL_CITATION {"citationItems":[{"id":"ITEM-1","itemData":{"DOI":"10.1038/s41597-023-02531-2","ISSN":"20524463","PMID":"37696825","abstract":"AmeriFlux is a network of research sites that measure carbon, water, and energy fluxes between ecosystems and the atmosphere using the eddy covariance technique to study a variety of Earth science questions. AmeriFlux’s diversity of ecosystems, instruments, and data-processing routines create challenges for data standardization, quality assurance, and sharing across the network. To address these challenges, the AmeriFlux Management Project (AMP) designed and implemented the BASE data-processing pipeline. The pipeline begins with data uploaded by the site teams, followed by the AMP team’s quality assurance and quality control (QA/QC), ingestion of site metadata, and publication of the BASE data product. The semi-automated pipeline enables us to keep pace with the rapid growth of the network. As of 2022, the AmeriFlux BASE data product contains 3,130 site years of data from 444 sites, with standardized units and variable names of more than 60 common variables, representing the largest long-term data repository for flux-met data in the world. The standardized, quality-ensured data product facilitates multisite comparisons, model evaluations, and data syntheses.","author":[{"dropping-particle":"","family":"Chu","given":"Housen","non-dropping-particle":"","parse-names":false,"suffix":""},{"dropping-particle":"","family":"Christianson","given":"Danielle S.","non-dropping-particle":"","parse-names":false,"suffix":""},{"dropping-particle":"","family":"Cheah","given":"You Wei","non-dropping-particle":"","parse-names":false,"suffix":""},{"dropping-particle":"","family":"Pastorello","given":"Gilberto","non-dropping-particle":"","parse-names":false,"suffix":""},{"dropping-particle":"","family":"O’Brien","given":"Fianna","non-dropping-particle":"","parse-names":false,"suffix":""},{"dropping-particle":"","family":"Geden","given":"Joshua","non-dropping-particle":"","parse-names":false,"suffix":""},{"dropping-particle":"","family":"Ngo","given":"Sy Toan","non-dropping-particle":"","parse-names":false,"suffix":""},{"dropping-particle":"","family":"Hollowgrass","given":"Rachel","non-dropping-particle":"","parse-names":false,"suffix":""},{"dropping-particle":"","family":"Leibowitz","given":"Karla","non-dropping-particle":"","parse-names":false,"suffix":""},{"dropping-particle":"","family":"Beekwilder","given":"Norman F.","non-dropping-particle":"","parse-names":false,"suffix":""},{"dropping-particle":"","family":"Sandesh","given":"Megha","non-dropping-particle":"","parse-names":false,"suffix":""},{"dropping-particle":"","family":"Dengel","given":"Sigrid","non-dropping-particle":"","parse-names":false,"suffix":""},{"dropping-particle":"","family":"Chan","given":"Stephen W.","non-dropping-particle":"","parse-names":false,"suffix":""},{"dropping-particle":"","family":"Santos","given":"André","non-dropping-particle":"","parse-names":false,"suffix":""},{"dropping-particle":"","family":"Delwiche","given":"Kyle","non-dropping-particle":"","parse-names":false,"suffix":""},{"dropping-particle":"","family":"Yi","given":"Koong","non-dropping-particle":"","parse-names":false,"suffix":""},{"dropping-particle":"","family":"Buechner","given":"Christin","non-dropping-particle":"","parse-names":false,"suffix":""},{"dropping-particle":"","family":"Baldocchi","given":"Dennis","non-dropping-particle":"","parse-names":false,"suffix":""},{"dropping-particle":"","family":"Papale","given":"Dario","non-dropping-particle":"","parse-names":false,"suffix":""},{"dropping-particle":"","family":"Keenan","given":"Trevor F.","non-dropping-particle":"","parse-names":false,"suffix":""},{"dropping-particle":"","family":"Biraud","given":"Sébastien C.","non-dropping-particle":"","parse-names":false,"suffix":""},{"dropping-particle":"","family":"Agarwal","given":"Deborah A.","non-dropping-particle":"","parse-names":false,"suffix":""},{"dropping-particle":"","family":"Torn","given":"Margaret S.","non-dropping-particle":"","parse-names":false,"suffix":""}],"container-title":"Scientific Data","id":"ITEM-1","issue":"1","issued":{"date-parts":[["2023"]]},"page":"e614","title":"AmeriFlux BASE data pipeline to support network growth and data sharing","type":"article-journal","volume":"10"},"uris":["http://www.mendeley.com/documents/?uuid=eb88fb41-839b-4527-b19c-68a62d64cb7b"]},{"id":"ITEM-2","itemData":{"DOI":"10.1002/ecs2.1234","ISSN":"21508925","abstract":"Human impacts on biogeochemical cycles are evident around the world, from changes to forest structure and function due to atmospheric deposition, to eutrophication of surface waters from agricultural effluent, and increasing concentrations of carbon dioxide (CO2) in the atmosphere. The National Ecological Observatory Network (NEON) will contribute to understanding human effects on biogeochemical cycles from local to continental scales. The broad NEON biogeochemistry measurement design focuses on measuring atmospheric deposition of reactive mineral compounds and CO2 fluxes, ecosystem carbon (C) and nutrient stocks, and surface water chemistry across 20 eco-climatic domains within the United States for 30 yr. Herein, we present the rationale and plan for the ground-based measurements of C and nutrients in soils and plants based on overarching or \"high-level\" requirements agreed upon by the National Science Foundation and NEON. The resulting design incorporates early recommendations by expert review teams, as well as recent input from the larger natural sciences community that went into the formation and interpretation of the requirements, respectively. NEON's efforts will focus on a suite of data streams that will enable end-users to study and predict changes to biogeochemical cycling and transfers within and across air, land, and water systems at regional to continental scales. At each NEON site, there will be an initial, one-time effort to survey soil properties to 1 m (including soil texture, bulk density, pH, baseline chemistry) and vegetation community structure and diversity. A sampling program will follow, focused on capturing long-term trends in soil C, nitrogen (N), and sulfur stocks, isotopic composition (of C and N), soil N transformation rates, phosphorus pools, and plant tissue chemistry and isotopic composition (of C and N). To this end, NEON will conduct extensive measurements of soils and plants within stratified random plots distributed across each site. The resulting data will be a new resource for members of the scientific community interested in addressing questions about long-term changes in continentalscale biogeochemical cycles, and is predicted to inspire further process-based research.","author":[{"dropping-particle":"","family":"Hinckley","given":"Eve Lyn S.","non-dropping-particle":"","parse-names":false,"suffix":""},{"dropping-particle":"","family":"Bonan","given":"Gordon B.","non-dropping-particle":"","parse-names":false,"suffix":""},{"dropping-particle":"","family":"Bowen","given":"Gabriel J.","non-dropping-particle":"","parse-names":false,"suffix":""},{"dropping-particle":"","family":"Colman","given":"Benjamin P.","non-dropping-particle":"","parse-names":false,"suffix":""},{"dropping-particle":"","family":"Duffy","given":"Paul A.","non-dropping-particle":"","parse-names":false,"suffix":""},{"dropping-particle":"","family":"Goodale","given":"Christine L.","non-dropping-particle":"","parse-names":false,"suffix":""},{"dropping-particle":"","family":"Houlton","given":"Benjamin Z.","non-dropping-particle":"","parse-names":false,"suffix":""},{"dropping-particle":"","family":"Marí-Spiotta","given":"Erika","non-dropping-particle":"","parse-names":false,"suffix":""},{"dropping-particle":"","family":"Ogle","given":"Kiona","non-dropping-particle":"","parse-names":false,"suffix":""},{"dropping-particle":"V.","family":"Ollinger","given":"Scott","non-dropping-particle":"","parse-names":false,"suffix":""},{"dropping-particle":"","family":"Paul","given":"Eldor A.","non-dropping-particle":"","parse-names":false,"suffix":""},{"dropping-particle":"","family":"Vitousek","given":"Peter M.","non-dropping-particle":"","parse-names":false,"suffix":""},{"dropping-particle":"","family":"Weathers","given":"Kathleen C.","non-dropping-particle":"","parse-names":false,"suffix":""},{"dropping-particle":"","family":"Williams","given":"David G.","non-dropping-particle":"","parse-names":false,"suffix":""}],"container-title":"Ecosphere","id":"ITEM-2","issue":"3","issued":{"date-parts":[["2016"]]},"page":"e01234","title":"The soil and plant biogeochemistry sampling design for the National Ecological Observatory Network","type":"article-journal","volume":"7"},"uris":["http://www.mendeley.com/documents/?uuid=c1bd8449-c747-4959-b4f1-af91374c6123"]},{"id":"ITEM-3","itemData":{"DOI":"10.1111/gcb.13686","ISSN":"13652486","PMID":"28295911","abstract":"Global-scale studies suggest that dryland ecosystems dominate an increasing trend in the magnitude and interannual variability of the land CO2 sink. However, such analyses are poorly constrained by measured CO2 exchange in drylands. Here we address this observation gap with eddy covariance data from 25 sites in the water-limited Southwest region of North America with observed ranges in annual precipitation of 100–1000 mm, annual temperatures of 2–25°C, and records of 3–10 years (150 site-years in total). Annual fluxes were integrated using site-specific ecohydrologic years to group precipitation with resulting ecosystem exchanges. We found a wide range of carbon sink/source function, with mean annual net ecosystem production (NEP) varying from -350 to +330 gCm−2 across sites with diverse vegetation types, contrasting with the more constant sink typically measured in mesic ecosystems. In this region, only forest-dominated sites were consistent carbon sinks. Interannual variability of NEP, gross ecosystem production (GEP), and ecosystem respiration (Reco) was larger than for mesic regions, and half the sites switched between functioning as C sinks/C sources in wet/dry years. The sites demonstrated coherent responses of GEP and NEP to anomalies in annual evapotranspiration (ET), used here as a proxy for annually available water after hydrologic losses. Notably, GEP and Reco were negatively related to temperature, both interannually within site and spatially across sites, in contrast to positive temperature effects commonly reported for mesic ecosystems. Models based on MODIS satellite observations matched the cross-site spatial pattern in mean annual GEP but consistently underestimated mean annual ET by ~50%. Importantly, the MODIS-based models captured only 20–30% of interannual variation magnitude. These results suggest the contribution of this dryland region to variability of regional to global CO2 exchange may be up to 3–5 times larger than current estimates.","author":[{"dropping-particle":"","family":"Biederman","given":"Joel A.","non-dropping-particle":"","parse-names":false,"suffix":""},{"dropping-particle":"","family":"Scott","given":"Russell L.","non-dropping-particle":"","parse-names":false,"suffix":""},{"dropping-particle":"","family":"Bell","given":"Tom W.","non-dropping-particle":"","parse-names":false,"suffix":""},{"dropping-particle":"","family":"Bowling","given":"David R.","non-dropping-particle":"","parse-names":false,"suffix":""},{"dropping-particle":"","family":"Dore","given":"Sabina","non-dropping-particle":"","parse-names":false,"suffix":""},{"dropping-particle":"","family":"Garatuza-Payan","given":"Jaime","non-dropping-particle":"","parse-names":false,"suffix":""},{"dropping-particle":"","family":"Kolb","given":"Thomas E.","non-dropping-particle":"","parse-names":false,"suffix":""},{"dropping-particle":"","family":"Krishnan","given":"Praveena","non-dropping-particle":"","parse-names":false,"suffix":""},{"dropping-particle":"","family":"Krofcheck","given":"Dan J.","non-dropping-particle":"","parse-names":false,"suffix":""},{"dropping-particle":"","family":"Litvak","given":"Marcy E.","non-dropping-particle":"","parse-names":false,"suffix":""},{"dropping-particle":"","family":"Maurer","given":"Gregory E.","non-dropping-particle":"","parse-names":false,"suffix":""},{"dropping-particle":"","family":"Meyers","given":"Tilden P.","non-dropping-particle":"","parse-names":false,"suffix":""},{"dropping-particle":"","family":"Oechel","given":"Walter C.","non-dropping-particle":"","parse-names":false,"suffix":""},{"dropping-particle":"","family":"Papuga","given":"Shirley A.","non-dropping-particle":"","parse-names":false,"suffix":""},{"dropping-particle":"","family":"Ponce-Campos","given":"Guillermo E.","non-dropping-particle":"","parse-names":false,"suffix":""},{"dropping-particle":"","family":"Rodriguez","given":"Julio C.","non-dropping-particle":"","parse-names":false,"suffix":""},{"dropping-particle":"","family":"Smith","given":"William K.","non-dropping-particle":"","parse-names":false,"suffix":""},{"dropping-particle":"","family":"Vargas","given":"Rodrigo","non-dropping-particle":"","parse-names":false,"suffix":""},{"dropping-particle":"","family":"Watts","given":"Christopher J.","non-dropping-particle":"","parse-names":false,"suffix":""},{"dropping-particle":"","family":"Yepez","given":"Enrico A.","non-dropping-particle":"","parse-names":false,"suffix":""},{"dropping-particle":"","family":"Goulden","given":"Michael L.","non-dropping-particle":"","parse-names":false,"suffix":""}],"container-title":"Global Change Biology","id":"ITEM-3","issue":"10","issued":{"date-parts":[["2017"]]},"page":"4204-4221","title":"CO&lt;sub&gt;2&lt;/sub&gt; exchange and evapotranspiration across dryland ecosystems of southwestern North America","type":"article-journal","volume":"23"},"uris":["http://www.mendeley.com/documents/?uuid=342572f4-697e-45df-b0f3-19acf4d8dd9c"]}],"mendeley":{"formattedCitation":"(Biederman et al., 2017; Chu et al., 2023; Hinckley et al., 2016)","plainTextFormattedCitation":"(Biederman et al., 2017; Chu et al., 2023; Hinckley et al., 2016)","previouslyFormattedCitation":"(Biederman et al., 2017; Chu et al., 2023; Hinckley et al., 2016)"},"properties":{"noteIndex":0},"schema":"https://github.com/citation-style-language/schema/raw/master/csl-citation.json"}</w:instrText>
      </w:r>
      <w:r w:rsidRPr="00C1362F">
        <w:rPr>
          <w:rFonts w:eastAsia="Arial"/>
          <w:sz w:val="24"/>
        </w:rPr>
        <w:fldChar w:fldCharType="separate"/>
      </w:r>
      <w:r w:rsidRPr="009E3581">
        <w:rPr>
          <w:rFonts w:eastAsia="Arial"/>
          <w:noProof/>
          <w:sz w:val="24"/>
        </w:rPr>
        <w:t>(Biederman et al., 2017; Chu et al., 2023; Hinckley et al., 2016)</w:t>
      </w:r>
      <w:r w:rsidRPr="00C1362F">
        <w:rPr>
          <w:rFonts w:eastAsia="Arial"/>
          <w:sz w:val="24"/>
        </w:rPr>
        <w:fldChar w:fldCharType="end"/>
      </w:r>
      <w:r w:rsidRPr="00C1362F">
        <w:rPr>
          <w:rFonts w:eastAsia="Arial"/>
          <w:sz w:val="24"/>
        </w:rPr>
        <w:t xml:space="preserve">, offer the best representation of rangeland C dynamics under different soil, climate, and vegetation conditions, and thus are </w:t>
      </w:r>
      <w:r>
        <w:rPr>
          <w:rFonts w:eastAsia="Arial"/>
          <w:sz w:val="24"/>
        </w:rPr>
        <w:t>well-</w:t>
      </w:r>
      <w:r w:rsidRPr="00C1362F">
        <w:rPr>
          <w:rFonts w:eastAsia="Arial"/>
          <w:sz w:val="24"/>
        </w:rPr>
        <w:t xml:space="preserve">suited for regional model calibration and validation. </w:t>
      </w:r>
    </w:p>
    <w:p w14:paraId="56946F10" w14:textId="77777777" w:rsidR="00400029" w:rsidRPr="00C1362F" w:rsidRDefault="00400029" w:rsidP="00400029">
      <w:pPr>
        <w:spacing w:before="120"/>
        <w:ind w:firstLine="720"/>
        <w:jc w:val="both"/>
        <w:rPr>
          <w:rFonts w:eastAsia="Arial"/>
          <w:sz w:val="24"/>
        </w:rPr>
      </w:pPr>
      <w:r w:rsidRPr="00C1362F">
        <w:rPr>
          <w:rFonts w:eastAsia="Arial"/>
          <w:sz w:val="24"/>
        </w:rPr>
        <w:t xml:space="preserve">The RS-driven modeling approach has a long legacy for use in cropping and forest systems </w:t>
      </w:r>
      <w:r w:rsidRPr="00C1362F">
        <w:rPr>
          <w:rFonts w:eastAsia="Arial"/>
          <w:sz w:val="24"/>
        </w:rPr>
        <w:fldChar w:fldCharType="begin" w:fldLock="1"/>
      </w:r>
      <w:r>
        <w:rPr>
          <w:rFonts w:eastAsia="Arial"/>
          <w:sz w:val="24"/>
        </w:rPr>
        <w:instrText>ADDIN CSL_CITATION {"citationItems":[{"id":"ITEM-1","itemData":{"DOI":"10.1016/j.agrformet.2021.108521","ISSN":"01681923","abstract":"As one of the major agricultural production areas in the world, the United States (U.S.) Midwest plays a vital role in the global food supply and agricultural ecosystem services. Although significant efforts have been made in modeling the carbon cycle dynamics over this area, large uncertainty still exists in the previous simulations in terms of reproducing individual components of the carbon cycle and their responses to environmental variability. Here we evaluated the performance of an advanced agroecosystem model, ecosys, in simulating carbon budgets over the U.S. Midwest, considering both the magnitude of carbon flux/yield and its response to environmental (climate and soil) variability. We conducted model simulations and evaluations at 7 cropland eddy-covariance sites as well as over 293 counties of Illinois, Indiana, and Iowa in the U.S. Midwest. The site-level simulations showed that ecosys captured both the magnitude and seasonal patterns of carbon fluxes (i.e., net ecosystem carbon exchange (NEE), ecosystem gross primary production (GPP), and ecosystem respiration (Reco)), leaf area index (LAI), and dynamic plant carbon allocation processes, with R2 equal to 0.92, 0.87, 0.87, and 0.78 for GPP, NEE, Reco, and LAI, respectively across all the sites compared with the observations. For regional scale simulations, ecosys reproduced the spatial distribution and interannual variability of corn and soybean yields with the constraints of observed yields and a new remotely sensed GPP product, with R2 of multi-year averaged simulated and observed yield equal 0.83 and 0.80 for corn and soybean, respectively. The simulated responses of carbon cycle dynamics to environmental variability were consistent with that from the empirical observations at both site and regional scales. Our results demonstrated the applicability of ecosys in simulating the carbon cycle and soil carbon dynamics of the U.S. Midwestern agroecosystems under different climate and soil conditions.","author":[{"dropping-particle":"","family":"Zhou","given":"Wang","non-dropping-particle":"","parse-names":false,"suffix":""},{"dropping-particle":"","family":"Guan","given":"Kaiyu","non-dropping-particle":"","parse-names":false,"suffix":""},{"dropping-particle":"","family":"Peng","given":"Bin","non-dropping-particle":"","parse-names":false,"suffix":""},{"dropping-particle":"","family":"Tang","given":"Jinyun","non-dropping-particle":"","parse-names":false,"suffix":""},{"dropping-particle":"","family":"Jin","given":"Zhenong","non-dropping-particle":"","parse-names":false,"suffix":""},{"dropping-particle":"","family":"Jiang","given":"Chongya","non-dropping-particle":"","parse-names":false,"suffix":""},{"dropping-particle":"","family":"Grant","given":"Robert","non-dropping-particle":"","parse-names":false,"suffix":""},{"dropping-particle":"","family":"Mezbahuddin","given":"Symon","non-dropping-particle":"","parse-names":false,"suffix":""}],"container-title":"Agricultural and Forest Meteorology","id":"ITEM-1","issued":{"date-parts":[["2021"]]},"page":"e108521","title":"Quantifying carbon budget, crop yields and their responses to environmental variability using the ecosys model for U.S. Midwestern agroecosystems","type":"article-journal","volume":"307"},"uris":["http://www.mendeley.com/documents/?uuid=b7135cdd-3bbc-4126-87d8-deee851def04"]},{"id":"ITEM-2","itemData":{"DOI":"10.1080/01431161.2010.512933","ISSN":"13665901","abstract":"A new model (GLOPEM-CEVSA) to determine terrestrial carbon budgets was developed by coupling remote sensing with ecosystem process simulation, and was validated with reference to the carbon fluxes of three forests. MODIS FPAR (MOD15A2 product) was applied together withmeteorological data on flux towers. The seasonal variances of modelled gross primary production and ecosystem respiration were significantly correlated with observed values (correlation coefficient, r &gt; 0.9). The seasonal dynamics of the modelled net ecosystem production over the plant-growth season showed significant agreement with observed values with a r range of 0.64 to 0.87. This work demonstrates the potential of GLOPEM-CEVSA to quantify the spatial patterns and temporal dynamics of terrestrial ecosystem carbon sources and sinks with consideration of the spatial heterogeneity of ecosystems based on remote sensing. © 2011 Taylor &amp; Francis.","author":[{"dropping-particle":"","family":"Wang","given":"Junbang","non-dropping-particle":"","parse-names":false,"suffix":""},{"dropping-particle":"","family":"Liu","given":"Jiyuan","non-dropping-particle":"","parse-names":false,"suffix":""},{"dropping-particle":"","family":"Cao","given":"Mingkui","non-dropping-particle":"","parse-names":false,"suffix":""},{"dropping-particle":"","family":"Liu","given":"Yunfeng","non-dropping-particle":"","parse-names":false,"suffix":""},{"dropping-particle":"","family":"Yu","given":"Guirui","non-dropping-particle":"","parse-names":false,"suffix":""},{"dropping-particle":"","family":"Li","given":"Guicai","non-dropping-particle":"","parse-names":false,"suffix":""},{"dropping-particle":"","family":"Shuhua","given":"Q.","non-dropping-particle":"","parse-names":false,"suffix":""},{"dropping-particle":"","family":"Li","given":"Kerang","non-dropping-particle":"","parse-names":false,"suffix":""}],"container-title":"International Journal of Remote Sensing","id":"ITEM-2","issue":"21","issued":{"date-parts":[["2011"]]},"page":"6539-6567","title":"Modelling carbon fluxes of different forests by coupling a remote-sensing model with an ecosystem process model","type":"article-journal","volume":"32"},"uris":["http://www.mendeley.com/documents/?uuid=a2e9865f-a0eb-453c-9217-ceff1a70863c"]},{"id":"ITEM-3","itemData":{"DOI":"10.1111/gcb.16553","ISSN":"13652486","PMID":"36647630","abstract":"Arctic-boreal landscapes are experiencing profound warming, along with changes in ecosystem moisture status and disturbance from fire. This region is of global importance in terms of carbon feedbacks to climate, yet the sign (sink or source) and magnitude of the Arctic-boreal carbon budget within recent years remains highly uncertain. Here, we provide new estimates of recent (2003–2015) vegetation gross primary productivity (GPP), ecosystem respiration (Reco), net ecosystem CO2 exchange (NEE; Reco − GPP), and terrestrial methane (CH4) emissions for the Arctic-boreal zone using a satellite data-driven process-model for northern ecosystems (TCFM-Arctic), calibrated and evaluated using measurements from &gt;60 tower eddy covariance (EC) sites. We used TCFM-Arctic to obtain daily 1-km2 flux estimates and annual carbon budgets for the pan-Arctic-boreal region. Across the domain, the model indicated an overall average NEE sink of −850 Tg CO2-C year−1. Eurasian boreal zones, especially those in Siberia, contributed to a majority of the net sink. In contrast, the tundra biome was relatively carbon neutral (ranging from small sink to source). Regional CH4 emissions from tundra and boreal wetlands (not accounting for aquatic CH4) were estimated at 35 Tg CH4-C year−1. Accounting for additional emissions from open water aquatic bodies and from fire, using available estimates from the literature, reduced the total regional NEE sink by 21% and shifted many far northern tundra landscapes, and some boreal forests, to a net carbon source. This assessment, based on in situ observations and models, improves our understanding of the high-latitude carbon status and also indicates a continued need for integrated site-to-regional assessments to monitor the vulnerability of these ecosystems to climate change.","author":[{"dropping-particle":"","family":"Watts","given":"Jennifer D.","non-dropping-particle":"","parse-names":false,"suffix":""},{"dropping-particle":"","family":"Farina","given":"Mary","non-dropping-particle":"","parse-names":false,"suffix":""},{"dropping-particle":"","family":"Kimball","given":"John S.","non-dropping-particle":"","parse-names":false,"suffix":""},{"dropping-particle":"","family":"Schiferl","given":"Luke D.","non-dropping-particle":"","parse-names":false,"suffix":""},{"dropping-particle":"","family":"Liu","given":"Zhihua","non-dropping-particle":"","parse-names":false,"suffix":""},{"dropping-particle":"","family":"Arndt","given":"Kyle A.","non-dropping-particle":"","parse-names":false,"suffix":""},{"dropping-particle":"","family":"Zona","given":"Donatella","non-dropping-particle":"","parse-names":false,"suffix":""},{"dropping-particle":"","family":"Ballantyne","given":"Ashley","non-dropping-particle":"","parse-names":false,"suffix":""},{"dropping-particle":"","family":"Euskirchen","given":"Eugénie S.","non-dropping-particle":"","parse-names":false,"suffix":""},{"dropping-particle":"","family":"Parmentier","given":"Frans Jan W.","non-dropping-particle":"","parse-names":false,"suffix":""},{"dropping-particle":"","family":"Helbig","given":"Manuel","non-dropping-particle":"","parse-names":false,"suffix":""},{"dropping-particle":"","family":"Sonnentag","given":"Oliver","non-dropping-particle":"","parse-names":false,"suffix":""},{"dropping-particle":"","family":"Tagesson","given":"Torbern","non-dropping-particle":"","parse-names":false,"suffix":""},{"dropping-particle":"","family":"Rinne","given":"Janne","non-dropping-particle":"","parse-names":false,"suffix":""},{"dropping-particle":"","family":"Ikawa","given":"Hiroki","non-dropping-particle":"","parse-names":false,"suffix":""},{"dropping-particle":"","family":"Ueyama","given":"Masahito","non-dropping-particle":"","parse-names":false,"suffix":""},{"dropping-particle":"","family":"Kobayashi","given":"Hideki","non-dropping-particle":"","parse-names":false,"suffix":""},{"dropping-particle":"","family":"Sachs","given":"Torsten","non-dropping-particle":"","parse-names":false,"suffix":""},{"dropping-particle":"","family":"Nadeau","given":"Daniel F.","non-dropping-particle":"","parse-names":false,"suffix":""},{"dropping-particle":"","family":"Kochendorfer","given":"John","non-dropping-particle":"","parse-names":false,"suffix":""},{"dropping-particle":"","family":"Jackowicz-Korczynski","given":"Marcin","non-dropping-particle":"","parse-names":false,"suffix":""},{"dropping-particle":"","family":"Virkkala","given":"Anna","non-dropping-particle":"","parse-names":false,"suffix":""},{"dropping-particle":"","family":"Aurela","given":"Mika","non-dropping-particle":"","parse-names":false,"suffix":""},{"dropping-particle":"","family":"Commane","given":"Roisin","non-dropping-particle":"","parse-names":false,"suffix":""},{"dropping-particle":"","family":"Byrne","given":"Brendan","non-dropping-particle":"","parse-names":false,"suffix":""},{"dropping-particle":"","family":"Birch","given":"Leah","non-dropping-particle":"","parse-names":false,"suffix":""},{"dropping-particle":"","family":"Johnson","given":"Matthew S.","non-dropping-particle":"","parse-names":false,"suffix":""},{"dropping-particle":"","family":"Madani","given":"Nima","non-dropping-particle":"","parse-names":false,"suffix":""},{"dropping-particle":"","family":"Rogers","given":"Brendan","non-dropping-particle":"","parse-names":false,"suffix":""},{"dropping-particle":"","family":"Du","given":"Jinyang","non-dropping-particle":"","parse-names":false,"suffix":""},{"dropping-particle":"","family":"Endsley","given":"Arthur","non-dropping-particle":"","parse-names":false,"suffix":""},{"dropping-particle":"","family":"Savage","given":"Kathleen","non-dropping-particle":"","parse-names":false,"suffix":""},{"dropping-particle":"","family":"Poulter","given":"Ben","non-dropping-particle":"","parse-names":false,"suffix":""},{"dropping-particle":"","family":"Zhang","given":"Zhen","non-dropping-particle":"","parse-names":false,"suffix":""},{"dropping-particle":"","family":"Bruhwiler","given":"Lori M.","non-dropping-particle":"","parse-names":false,"suffix":""},{"dropping-particle":"","family":"Miller","given":"Charles E.","non-dropping-particle":"","parse-names":false,"suffix":""},{"dropping-particle":"","family":"Goetz","given":"Scott","non-dropping-particle":"","parse-names":false,"suffix":""},{"dropping-particle":"","family":"Oechel","given":"Walter C.","non-dropping-particle":"","parse-names":false,"suffix":""}],"container-title":"Global Change Biology","id":"ITEM-3","issue":"7","issued":{"date-parts":[["2023"]]},"page":"1870-1889","title":"Carbon uptake in Eurasian boreal forests dominates the high-latitude net ecosystem carbon budget","type":"article-journal","volume":"29"},"uris":["http://www.mendeley.com/documents/?uuid=bdd3b830-2ab3-4845-8ba5-6869b5bc45cb"]}],"mendeley":{"formattedCitation":"(J. Wang et al., 2011; Watts et al., 2023; Zhou et al., 2021)","manualFormatting":"(Wang et al., 2011; Watts et al., 2023; Zhou et al., 2021)","plainTextFormattedCitation":"(J. Wang et al., 2011; Watts et al., 2023; Zhou et al., 2021)","previouslyFormattedCitation":"(J. Wang et al., 2011; Watts et al., 2023; Zhou et al., 2021)"},"properties":{"noteIndex":0},"schema":"https://github.com/citation-style-language/schema/raw/master/csl-citation.json"}</w:instrText>
      </w:r>
      <w:r w:rsidRPr="00C1362F">
        <w:rPr>
          <w:rFonts w:eastAsia="Arial"/>
          <w:sz w:val="24"/>
        </w:rPr>
        <w:fldChar w:fldCharType="separate"/>
      </w:r>
      <w:r w:rsidRPr="002A10FE">
        <w:rPr>
          <w:rFonts w:eastAsia="Arial"/>
          <w:noProof/>
          <w:sz w:val="24"/>
        </w:rPr>
        <w:t>(Wang et al., 2011; Watts et al., 2023; Zhou et al., 2021)</w:t>
      </w:r>
      <w:r w:rsidRPr="00C1362F">
        <w:rPr>
          <w:rFonts w:eastAsia="Arial"/>
          <w:sz w:val="24"/>
        </w:rPr>
        <w:fldChar w:fldCharType="end"/>
      </w:r>
      <w:r>
        <w:rPr>
          <w:rFonts w:eastAsia="Arial"/>
          <w:sz w:val="24"/>
        </w:rPr>
        <w:t xml:space="preserve"> and global scale monitoring </w:t>
      </w:r>
      <w:r w:rsidRPr="00C1362F">
        <w:rPr>
          <w:rFonts w:eastAsia="Arial"/>
          <w:sz w:val="24"/>
        </w:rPr>
        <w:fldChar w:fldCharType="begin" w:fldLock="1"/>
      </w:r>
      <w:r>
        <w:rPr>
          <w:rFonts w:eastAsia="Arial"/>
          <w:sz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Arial"/>
          <w:sz w:val="24"/>
        </w:rPr>
        <w:fldChar w:fldCharType="separate"/>
      </w:r>
      <w:r w:rsidRPr="002A10FE">
        <w:rPr>
          <w:rFonts w:eastAsia="Arial"/>
          <w:noProof/>
          <w:sz w:val="24"/>
        </w:rPr>
        <w:t>(Endsley et al., 2020)</w:t>
      </w:r>
      <w:r w:rsidRPr="00C1362F">
        <w:rPr>
          <w:rFonts w:eastAsia="Arial"/>
          <w:sz w:val="24"/>
        </w:rPr>
        <w:fldChar w:fldCharType="end"/>
      </w:r>
      <w:r w:rsidRPr="00C1362F">
        <w:rPr>
          <w:rFonts w:eastAsia="Arial"/>
          <w:sz w:val="24"/>
        </w:rPr>
        <w:t xml:space="preserve">; however, to the best of our knowledge, there has not been a RS-driven regional model that is designed and parameterized specifically to evaluate decadal-scale C dynamics </w:t>
      </w:r>
      <w:r>
        <w:rPr>
          <w:rFonts w:eastAsia="Arial"/>
          <w:sz w:val="24"/>
        </w:rPr>
        <w:t xml:space="preserve">and track SOC changes </w:t>
      </w:r>
      <w:r w:rsidRPr="00C1362F">
        <w:rPr>
          <w:rFonts w:eastAsia="Arial"/>
          <w:sz w:val="24"/>
        </w:rPr>
        <w:t xml:space="preserve">under different vegetation types for U.S. rangelands. The objective of our work was to bridge this gap with a framework that: (1) incorporates fine-resolution, long-term </w:t>
      </w:r>
      <w:r>
        <w:rPr>
          <w:rFonts w:eastAsia="Arial"/>
          <w:sz w:val="24"/>
        </w:rPr>
        <w:t xml:space="preserve">geospatial </w:t>
      </w:r>
      <w:r w:rsidRPr="00C1362F">
        <w:rPr>
          <w:rFonts w:eastAsia="Arial"/>
          <w:sz w:val="24"/>
        </w:rPr>
        <w:t xml:space="preserve">datasets that can be obtained either from publicly available data sources or through data fusion, as </w:t>
      </w:r>
      <w:r w:rsidRPr="00C1362F">
        <w:rPr>
          <w:rFonts w:eastAsia="Arial"/>
          <w:sz w:val="24"/>
        </w:rPr>
        <w:lastRenderedPageBreak/>
        <w:t>model inputs; (2) derives</w:t>
      </w:r>
      <w:r>
        <w:rPr>
          <w:rFonts w:eastAsia="Arial"/>
          <w:sz w:val="24"/>
        </w:rPr>
        <w:t xml:space="preserve"> regional</w:t>
      </w:r>
      <w:r w:rsidRPr="00C1362F">
        <w:rPr>
          <w:rFonts w:eastAsia="Arial"/>
          <w:sz w:val="24"/>
        </w:rPr>
        <w:t xml:space="preserve"> </w:t>
      </w:r>
      <w:r>
        <w:rPr>
          <w:rFonts w:eastAsia="Arial"/>
          <w:sz w:val="24"/>
        </w:rPr>
        <w:t>vegetation class</w:t>
      </w:r>
      <w:r w:rsidRPr="00C1362F">
        <w:rPr>
          <w:rFonts w:eastAsia="Arial"/>
          <w:sz w:val="24"/>
        </w:rPr>
        <w:t xml:space="preserve">-specific parameters through model calibration </w:t>
      </w:r>
      <w:r>
        <w:rPr>
          <w:rFonts w:eastAsia="Arial"/>
          <w:sz w:val="24"/>
        </w:rPr>
        <w:t xml:space="preserve">and validation </w:t>
      </w:r>
      <w:r w:rsidRPr="00C1362F">
        <w:rPr>
          <w:rFonts w:eastAsia="Arial"/>
          <w:sz w:val="24"/>
        </w:rPr>
        <w:t>using flux tower network datasets collected from Western and Midwestern U.S. rangelands; (3) performs model evaluation using SOC stock measurements; (4) provides estimates and visualizations of modeled rangeland C dynamics for the period from 2003 to present</w:t>
      </w:r>
      <w:r>
        <w:rPr>
          <w:rFonts w:eastAsia="Arial"/>
          <w:sz w:val="24"/>
        </w:rPr>
        <w:t>, and at a spatial scale relevant to land managers</w:t>
      </w:r>
      <w:r w:rsidRPr="00C1362F">
        <w:rPr>
          <w:rFonts w:eastAsia="Arial"/>
          <w:sz w:val="24"/>
        </w:rPr>
        <w:t xml:space="preserve">. </w:t>
      </w:r>
    </w:p>
    <w:p w14:paraId="5EFE6BDC" w14:textId="77777777" w:rsidR="00400029" w:rsidRDefault="00400029" w:rsidP="002F3B11">
      <w:pPr>
        <w:pStyle w:val="Text"/>
      </w:pPr>
    </w:p>
    <w:p w14:paraId="7A8760A4" w14:textId="6719CD5D" w:rsidR="002F3B11" w:rsidRDefault="002F3B11" w:rsidP="00C81368">
      <w:pPr>
        <w:pStyle w:val="Heading-Main"/>
      </w:pPr>
      <w:r>
        <w:t>2 Materials and Methods</w:t>
      </w:r>
    </w:p>
    <w:p w14:paraId="5A16F0D8" w14:textId="667F5655" w:rsidR="002F3B11" w:rsidRDefault="002F3B11" w:rsidP="00C81368">
      <w:pPr>
        <w:pStyle w:val="Heading-Secondary"/>
      </w:pPr>
      <w:r>
        <w:t xml:space="preserve">2.1 </w:t>
      </w:r>
      <w:r w:rsidR="00F25462" w:rsidRPr="00F25462">
        <w:t>Overview of the Rangeland Carbon Tracking and Monitoring system</w:t>
      </w:r>
    </w:p>
    <w:p w14:paraId="04EC2760" w14:textId="77777777" w:rsidR="00F25462" w:rsidRPr="00C1362F" w:rsidRDefault="00F25462" w:rsidP="00F25462">
      <w:pPr>
        <w:spacing w:before="120"/>
        <w:ind w:firstLine="720"/>
        <w:jc w:val="both"/>
        <w:rPr>
          <w:rFonts w:eastAsia="Arial"/>
          <w:sz w:val="24"/>
        </w:rPr>
      </w:pPr>
      <w:r w:rsidRPr="00B76EA6">
        <w:rPr>
          <w:rFonts w:eastAsia="Arial"/>
          <w:sz w:val="24"/>
        </w:rPr>
        <w:t xml:space="preserve">To </w:t>
      </w:r>
      <w:r>
        <w:rPr>
          <w:rFonts w:eastAsia="Arial"/>
          <w:sz w:val="24"/>
        </w:rPr>
        <w:t>provide a framework tracking regional rangeland C dynamics</w:t>
      </w:r>
      <w:r w:rsidRPr="00B76EA6">
        <w:rPr>
          <w:rFonts w:eastAsia="Arial"/>
          <w:sz w:val="24"/>
        </w:rPr>
        <w:t xml:space="preserve">, we </w:t>
      </w:r>
      <w:r>
        <w:rPr>
          <w:rFonts w:eastAsia="Arial"/>
          <w:sz w:val="24"/>
        </w:rPr>
        <w:t>developed</w:t>
      </w:r>
      <w:r w:rsidRPr="00B76EA6">
        <w:rPr>
          <w:rFonts w:eastAsia="Arial"/>
          <w:sz w:val="24"/>
        </w:rPr>
        <w:t xml:space="preserve"> a process-based</w:t>
      </w:r>
      <w:r>
        <w:rPr>
          <w:rFonts w:eastAsia="Arial"/>
          <w:sz w:val="24"/>
        </w:rPr>
        <w:t xml:space="preserve"> RS-driven modeling system called the</w:t>
      </w:r>
      <w:r w:rsidRPr="00B76EA6">
        <w:rPr>
          <w:rFonts w:eastAsia="Arial"/>
          <w:sz w:val="24"/>
        </w:rPr>
        <w:t xml:space="preserve"> Rangeland Carbon Tracking and Monitoring (RCTM) </w:t>
      </w:r>
      <w:r>
        <w:rPr>
          <w:rFonts w:eastAsia="Arial"/>
          <w:sz w:val="24"/>
        </w:rPr>
        <w:t xml:space="preserve">model. </w:t>
      </w:r>
      <w:r w:rsidRPr="00C1362F">
        <w:rPr>
          <w:rFonts w:eastAsia="Arial"/>
          <w:sz w:val="24"/>
        </w:rPr>
        <w:t>The RCTM system integrates RS</w:t>
      </w:r>
      <w:r>
        <w:rPr>
          <w:rFonts w:eastAsia="Arial"/>
          <w:sz w:val="24"/>
        </w:rPr>
        <w:t>-informed geospatial datasets</w:t>
      </w:r>
      <w:r w:rsidRPr="00C1362F">
        <w:rPr>
          <w:rFonts w:eastAsia="Arial"/>
          <w:sz w:val="24"/>
        </w:rPr>
        <w:t xml:space="preserve"> and </w:t>
      </w:r>
      <w:r>
        <w:rPr>
          <w:rFonts w:eastAsia="Arial"/>
          <w:sz w:val="24"/>
        </w:rPr>
        <w:t>in-situ field measurements</w:t>
      </w:r>
      <w:r w:rsidRPr="00C1362F">
        <w:rPr>
          <w:rFonts w:eastAsia="Arial"/>
          <w:sz w:val="24"/>
        </w:rPr>
        <w:t xml:space="preserve"> with process-based </w:t>
      </w:r>
      <w:r>
        <w:rPr>
          <w:rFonts w:eastAsia="Arial"/>
          <w:sz w:val="24"/>
        </w:rPr>
        <w:t>representation of the carbon cycle</w:t>
      </w:r>
      <w:r w:rsidRPr="00C1362F">
        <w:rPr>
          <w:rFonts w:eastAsia="Arial"/>
          <w:sz w:val="24"/>
        </w:rPr>
        <w:t xml:space="preserve"> (SI: Table A1). </w:t>
      </w:r>
      <w:r>
        <w:rPr>
          <w:rFonts w:eastAsia="Arial"/>
          <w:sz w:val="24"/>
        </w:rPr>
        <w:t xml:space="preserve">The RCTM system first estimates plant productivity using RS and environmental inputs. The estimates are then fed into a soil process-based model to simulate C dynamics. </w:t>
      </w:r>
      <w:r w:rsidRPr="00C1362F">
        <w:rPr>
          <w:rFonts w:eastAsia="Arial"/>
          <w:sz w:val="24"/>
        </w:rPr>
        <w:t xml:space="preserve">There are three main components involved in the system (Fig. 1): (1) The Spatial and Temporal Adaptive Reflectance Fusion Model (STARFM) algorithm </w:t>
      </w:r>
      <w:r w:rsidRPr="00C1362F">
        <w:rPr>
          <w:rFonts w:eastAsia="Arial"/>
          <w:sz w:val="24"/>
        </w:rPr>
        <w:fldChar w:fldCharType="begin" w:fldLock="1"/>
      </w:r>
      <w:r>
        <w:rPr>
          <w:rFonts w:eastAsia="Arial"/>
          <w:sz w:val="24"/>
        </w:rPr>
        <w:instrText>ADDIN CSL_CITATION {"citationItems":[{"id":"ITEM-1","itemData":{"DOI":"10.1109/TGRS.2006.872081","ISSN":"01962892","abstract":"The 16-day revisit cycle of Landsat has long limited its use for studying global biophysical processes, which evolve rapidly during the growing season. In cloudy areas of the Earth, the problem is compounded, and researchers are fortunate to get two to three clear images per year. At the same time, the coarse resolution of sensors such as the Advanced Very High Resolution Radiometer and Moderate Resolution Imaging Spectroradiometer (MODIS) limits the sensors' ability to quantify biophysical processes in heterogeneous landscapes. In this paper, the authors present a new spatial and temporal adaptive reflectance fusion model (STARFM) algorithm to blend Landsat and MODIS surface reflectance. Using this approach, high-frequency temporal information from MODIS and high-resolution spatial information from Landsat can be blended for applications that require high resolution in both time and space. The MODIS daily 500-m surface reflectance and the 16-day repeat cycle Landsat Enhanced Thematic Mapper Plus (ETM+) 30-m surface reflectance are used to produce a synthetic \"daily\" surface reflectance product at ETM+ spatial resolution. The authors present results both with simulated (model) data and actual Landsat/MODIS acquisitions. In general, the STARFM accurately predicts surface reflectance at an effective resolution close to that of the ETM+. However, the performance depends on the characteristic patch size of the landscape and degrades somewhat when used on extremely heterogeneous fine-grained landscapes. © 2006 IEEE.","author":[{"dropping-particle":"","family":"Gao","given":"Feng","non-dropping-particle":"","parse-names":false,"suffix":""},{"dropping-particle":"","family":"Masek","given":"Jeff","non-dropping-particle":"","parse-names":false,"suffix":""},{"dropping-particle":"","family":"Schwaller","given":"Matt","non-dropping-particle":"","parse-names":false,"suffix":""},{"dropping-particle":"","family":"Hall","given":"Forrest","non-dropping-particle":"","parse-names":false,"suffix":""}],"container-title":"IEEE Transactions on Geoscience and Remote Sensing","id":"ITEM-1","issue":"8","issued":{"date-parts":[["2006"]]},"page":"2207-2218","title":"On the blending of the landsat and MODIS surface reflectance: Predicting daily landsat surface reflectance","type":"article-journal","volume":"44"},"uris":["http://www.mendeley.com/documents/?uuid=c616ddaf-c933-4ec5-a503-a7c5a8c81839"]},{"id":"ITEM-2","itemData":{"DOI":"10.1016/j.rse.2010.08.005","ISSN":"00344257","abstract":"Conservation tillage management has been advocated for carbon sequestration and soil quality preservation purposes. Past satellite image analyses have had difficulty in differentiating between no-till (NT) and minimal tillage (MT) conservation classes due to similarities in surface residues, and may have been restricted by the availability of cloud-free satellite imagery. This study hypothesized that the inclusion of high temporal data into the classification process would increase conservation tillage accuracy due to the added likelihood of capturing spectral changes in MT fields following a tillage disturbance. Classification accuracies were evaluated for Random Forest models based on 250-m and 500-m MODIS, 30-m Landsat, and 30-m synthetic reflectance values. Synthetic (30-m) data derived from the Spatial and Temporal Adaptive Reflectance Fusion Model (STARFM) were evaluated because high frequency Landsat image sets are often unavailable within a cropping season due to cloud issues. Classification results from a five-date Landsat model were substantially better than those reported by previous classification tillage studies, with 94% total and ≥ 88% class producer's accuracies. Landsat-derived models based on individual image scenes (May through August) yielded poor MT classifications, but a monthly increase in accuracy illustrated the importance of temporal sampling for capturing regional tillage disturbance signatures. MODIS-based model accuracies (90% total; ≥ 82% class) were lower than in the five-date Landsat model, but were higher than previous image-based and survey-based tillage classification results. Almost all the STARFM prediction-based models had classification accuracies higher than, or comparable to, the MODIS-based results (&gt; 90% total; ≥ 84% class) but the resulting model accuracies were dependent on the MODIS/Landsat base pairs used to generate the STARFM predictions. Also evident within the STARFM prediction-based models was the ability for high frequency data series to compensate for degraded synthetic spectral values when classifying field-based tillage. The decision to use MODIS or STARFM-based data within conservation tillage analysis is likely situation dependent. A MODIS-based approach requires little data processing and could be more efficient for large-area mapping; however a STARFM-based analysis might be more appropriate in mixed-pixel situations that could potentially compromise classification accuracy. © 2010 Elsevier Inc.","author":[{"dropping-particle":"","family":"Watts","given":"Jennifer D.","non-dropping-particle":"","parse-names":false,"suffix":""},{"dropping-particle":"","family":"Powell","given":"Scott L.","non-dropping-particle":"","parse-names":false,"suffix":""},{"dropping-particle":"","family":"Lawrence","given":"Rick L.","non-dropping-particle":"","parse-names":false,"suffix":""},{"dropping-particle":"","family":"Hilker","given":"Thomas","non-dropping-particle":"","parse-names":false,"suffix":""}],"container-title":"Remote Sensing of Environment","id":"ITEM-2","issue":"1","issued":{"date-parts":[["2011"]]},"page":"66-75","title":"Improved classification of conservation tillage adoption using high temporal and synthetic satellite imagery","type":"article-journal","volume":"115"},"uris":["http://www.mendeley.com/documents/?uuid=208684cf-f0ac-42d4-91fb-75b9c6fdf50f"]}],"mendeley":{"formattedCitation":"(F. Gao et al., 2006; Watts et al., 2011)","manualFormatting":"(Gao et al., 2006; Watts et al., 2011)","plainTextFormattedCitation":"(F. Gao et al., 2006; Watts et al., 2011)","previouslyFormattedCitation":"(F. Gao et al., 2006; Watts et al., 2011)"},"properties":{"noteIndex":0},"schema":"https://github.com/citation-style-language/schema/raw/master/csl-citation.json"}</w:instrText>
      </w:r>
      <w:r w:rsidRPr="00C1362F">
        <w:rPr>
          <w:rFonts w:eastAsia="Arial"/>
          <w:sz w:val="24"/>
        </w:rPr>
        <w:fldChar w:fldCharType="separate"/>
      </w:r>
      <w:r w:rsidRPr="005879DA">
        <w:rPr>
          <w:rFonts w:eastAsia="Arial"/>
          <w:noProof/>
          <w:sz w:val="24"/>
        </w:rPr>
        <w:t>(Gao et al., 2006; Watts et al., 2011)</w:t>
      </w:r>
      <w:r w:rsidRPr="00C1362F">
        <w:rPr>
          <w:rFonts w:eastAsia="Arial"/>
          <w:sz w:val="24"/>
        </w:rPr>
        <w:fldChar w:fldCharType="end"/>
      </w:r>
      <w:r w:rsidRPr="00C1362F">
        <w:rPr>
          <w:rFonts w:eastAsia="Arial"/>
          <w:sz w:val="24"/>
        </w:rPr>
        <w:t xml:space="preserve"> is utilized to derive estimates of </w:t>
      </w:r>
      <w:bookmarkStart w:id="1" w:name="_Hlk150274578"/>
      <w:r w:rsidRPr="00C1362F">
        <w:rPr>
          <w:rFonts w:eastAsia="Arial"/>
          <w:sz w:val="24"/>
        </w:rPr>
        <w:t xml:space="preserve">fraction of </w:t>
      </w:r>
      <w:r w:rsidRPr="00AD1A1F">
        <w:rPr>
          <w:rFonts w:eastAsia="Arial"/>
          <w:sz w:val="24"/>
        </w:rPr>
        <w:t xml:space="preserve">absorbed </w:t>
      </w:r>
      <w:r w:rsidRPr="00C1362F">
        <w:rPr>
          <w:rFonts w:eastAsia="Arial"/>
          <w:sz w:val="24"/>
        </w:rPr>
        <w:t xml:space="preserve">photosynthetically active radiation </w:t>
      </w:r>
      <w:bookmarkEnd w:id="1"/>
      <w:r w:rsidRPr="00C1362F">
        <w:rPr>
          <w:rFonts w:eastAsia="Arial"/>
          <w:sz w:val="24"/>
        </w:rPr>
        <w:t>(fPAR) at a 30</w:t>
      </w:r>
      <w:r>
        <w:rPr>
          <w:rFonts w:eastAsia="Arial"/>
          <w:sz w:val="24"/>
        </w:rPr>
        <w:t xml:space="preserve"> </w:t>
      </w:r>
      <w:r w:rsidRPr="00C1362F">
        <w:rPr>
          <w:rFonts w:eastAsia="Arial"/>
          <w:sz w:val="24"/>
        </w:rPr>
        <w:t xml:space="preserve">m resolution and at five-day intervals; (2) RS or survey-derived </w:t>
      </w:r>
      <w:r>
        <w:rPr>
          <w:rFonts w:eastAsia="Arial"/>
          <w:sz w:val="24"/>
        </w:rPr>
        <w:t>variables</w:t>
      </w:r>
      <w:r w:rsidRPr="00C1362F">
        <w:rPr>
          <w:rFonts w:eastAsia="Arial"/>
          <w:sz w:val="24"/>
        </w:rPr>
        <w:t xml:space="preserve">, including soil properties, climate </w:t>
      </w:r>
      <w:r>
        <w:rPr>
          <w:rFonts w:eastAsia="Arial"/>
          <w:sz w:val="24"/>
        </w:rPr>
        <w:t>factors</w:t>
      </w:r>
      <w:r w:rsidRPr="00C1362F">
        <w:rPr>
          <w:rFonts w:eastAsia="Arial"/>
          <w:sz w:val="24"/>
        </w:rPr>
        <w:t xml:space="preserve">, and </w:t>
      </w:r>
      <w:r>
        <w:rPr>
          <w:rFonts w:eastAsia="Arial"/>
          <w:sz w:val="24"/>
        </w:rPr>
        <w:t>vegetation types</w:t>
      </w:r>
      <w:r w:rsidRPr="00C1362F">
        <w:rPr>
          <w:rFonts w:eastAsia="Arial"/>
          <w:sz w:val="24"/>
        </w:rPr>
        <w:t>, are utilized in conjunction with fPAR through light</w:t>
      </w:r>
      <w:r>
        <w:rPr>
          <w:rFonts w:eastAsia="Arial"/>
          <w:sz w:val="24"/>
        </w:rPr>
        <w:t>-</w:t>
      </w:r>
      <w:r w:rsidRPr="00C1362F">
        <w:rPr>
          <w:rFonts w:eastAsia="Arial"/>
          <w:sz w:val="24"/>
        </w:rPr>
        <w:t xml:space="preserve">use efficiency (LUE) algorithms adapted from NASA’s Soil Moisture Active-Passive (SMAP) Level 4 Carbon (L4C) model </w:t>
      </w:r>
      <w:r w:rsidRPr="00C1362F">
        <w:rPr>
          <w:rFonts w:eastAsia="Arial"/>
          <w:sz w:val="24"/>
        </w:rPr>
        <w:fldChar w:fldCharType="begin" w:fldLock="1"/>
      </w:r>
      <w:r w:rsidRPr="00C1362F">
        <w:rPr>
          <w:rFonts w:eastAsia="Arial"/>
          <w:sz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(Endsley et al., 2020)</w:t>
      </w:r>
      <w:r w:rsidRPr="00C1362F">
        <w:rPr>
          <w:rFonts w:eastAsia="Arial"/>
          <w:sz w:val="24"/>
        </w:rPr>
        <w:fldChar w:fldCharType="end"/>
      </w:r>
      <w:r w:rsidRPr="00C1362F">
        <w:rPr>
          <w:rFonts w:eastAsia="Arial"/>
          <w:sz w:val="24"/>
        </w:rPr>
        <w:t xml:space="preserve"> to derive estimates of GPP, where </w:t>
      </w:r>
      <w:r>
        <w:rPr>
          <w:rFonts w:eastAsia="Arial"/>
          <w:sz w:val="24"/>
        </w:rPr>
        <w:t>vegetation type</w:t>
      </w:r>
      <w:r w:rsidRPr="00C1362F">
        <w:rPr>
          <w:rFonts w:eastAsia="Arial"/>
          <w:sz w:val="24"/>
        </w:rPr>
        <w:t xml:space="preserve">-specific parameters associated with </w:t>
      </w:r>
      <w:r>
        <w:rPr>
          <w:rFonts w:eastAsia="Arial"/>
          <w:sz w:val="24"/>
        </w:rPr>
        <w:t>environmental variable</w:t>
      </w:r>
      <w:r w:rsidRPr="00C1362F">
        <w:rPr>
          <w:rFonts w:eastAsia="Arial"/>
          <w:sz w:val="24"/>
        </w:rPr>
        <w:t>-based constraints on LUE are subject to model calibration</w:t>
      </w:r>
      <w:r>
        <w:rPr>
          <w:rFonts w:eastAsia="Arial"/>
          <w:sz w:val="24"/>
        </w:rPr>
        <w:t>;</w:t>
      </w:r>
      <w:r w:rsidRPr="00C1362F">
        <w:rPr>
          <w:rFonts w:eastAsia="Arial"/>
          <w:sz w:val="24"/>
        </w:rPr>
        <w:t xml:space="preserve"> (3) Aboveground and belowground biomass are estimated from GPP using algorithms adapted from DAYCENT </w:t>
      </w:r>
      <w:r w:rsidRPr="00C1362F">
        <w:rPr>
          <w:rFonts w:eastAsia="Arial"/>
          <w:sz w:val="24"/>
        </w:rPr>
        <w:fldChar w:fldCharType="begin" w:fldLock="1"/>
      </w:r>
      <w:r w:rsidRPr="00C1362F">
        <w:rPr>
          <w:rFonts w:eastAsia="Arial"/>
          <w:sz w:val="24"/>
        </w:rPr>
        <w:instrText>ADDIN CSL_CITATION {"citationItems":[{"id":"ITEM-1","itemData":{"DOI":"10.1016/S0921-8181(98)00040-X","ISBN":"0921-8181","ISSN":"09218181","abstract":"A land surface submodel was developed for the dally version of the CENTURY ecosystem model (DAYCENT). The goal of DAYCENT to simulate soil N2O, NO(x), and CH4 fluxes for terrestrial ecosystems determined the structure and processes represented in the land surface model. The land surface model was set up to simulate daily dynamics of soil water and temperature from a multi-layered soil system (0-1, 1-4, 4-15, 15-30 cm, etc.) and included surface runoff and above field capacity soil water dynamics during intense rainfall events and snowmelt into frozen soils. The comparison of the simulated soil water content (0-10 cm) with observed data from four sites was quite favorable (squared correlation coefficient -??2= 0.87, 0.65, 0.86 and 0.58) and the simulated results were comparable for the soil temperature model (r2 = 0.92 and 0.95 for minimum and maximum 10 cm soil temperatures). Detailed soil water and temperature data during snowmelt time periods and following rainfall events are needed to fully evaluate the performance of the water flow model.","author":[{"dropping-particle":"","family":"Parton","given":"William J.","non-dropping-particle":"","parse-names":false,"suffix":""},{"dropping-particle":"","family":"Hartman","given":"Melannie","non-dropping-particle":"","parse-names":false,"suffix":""},{"dropping-particle":"","family":"Ojima","given":"Dennis","non-dropping-particle":"","parse-names":false,"suffix":""},{"dropping-particle":"","family":"Schimel","given":"David","non-dropping-particle":"","parse-names":false,"suffix":""}],"container-title":"Global and Planetary Change","id":"ITEM-1","issue":"1-4","issued":{"date-parts":[["1998"]]},"page":"35-48","publisher":"Elsevier\\","title":"DAYCENT and its land surface submodel: Description and testing","type":"article","volume":"19"},"uris":["http://www.mendeley.com/documents/?uuid=d62e251e-af40-44d6-84bf-69ecb83678d2"]}],"mendeley":{"formattedCitation":"(Parton et al., 1998)","plainTextFormattedCitation":"(Parton et al., 1998)","previouslyFormattedCitation":"(Parton et al., 1998)"},"properties":{"noteIndex":0},"schema":"https://github.com/citation-style-language/schema/raw/master/csl-citation.json"}</w:instrText>
      </w:r>
      <w:r w:rsidRPr="00C1362F">
        <w:rPr>
          <w:rFonts w:eastAsia="Arial"/>
          <w:sz w:val="24"/>
        </w:rPr>
        <w:fldChar w:fldCharType="separate"/>
      </w:r>
      <w:r w:rsidRPr="00C1362F">
        <w:rPr>
          <w:rFonts w:eastAsia="Arial"/>
          <w:noProof/>
          <w:sz w:val="24"/>
        </w:rPr>
        <w:t>(Parton et al., 1998)</w:t>
      </w:r>
      <w:r w:rsidRPr="00C1362F">
        <w:rPr>
          <w:rFonts w:eastAsia="Arial"/>
          <w:sz w:val="24"/>
        </w:rPr>
        <w:fldChar w:fldCharType="end"/>
      </w:r>
      <w:r w:rsidRPr="00C1362F">
        <w:rPr>
          <w:rFonts w:eastAsia="Arial"/>
          <w:sz w:val="24"/>
        </w:rPr>
        <w:t xml:space="preserve"> and then allocated to different soil organic matter (SOM) pools specified within a process-based model structure adapted from the RothC model </w:t>
      </w:r>
      <w:r w:rsidRPr="00C1362F">
        <w:rPr>
          <w:rFonts w:eastAsia="Arial"/>
          <w:sz w:val="24"/>
        </w:rPr>
        <w:fldChar w:fldCharType="begin" w:fldLock="1"/>
      </w:r>
      <w:r w:rsidRPr="00C1362F">
        <w:rPr>
          <w:rFonts w:eastAsia="Arial"/>
          <w:sz w:val="24"/>
        </w:rPr>
        <w:instrText>ADDIN CSL_CITATION {"citationItems":[{"id":"ITEM-1","itemData":{"DOI":"https://doi.org/10.1007/978-3-642-61094-3_17","author":[{"dropping-particle":"","family":"Coleman","given":"K.","non-dropping-particle":"","parse-names":false,"suffix":""},{"dropping-particle":"","family":"Jenkinson","given":"D. S","non-dropping-particle":"","parse-names":false,"suffix":""}],"container-title":"Evaluation of soil organic matter models: using existing long-term datasets","editor":[{"dropping-particle":"","family":"Powlson","given":"D.S.","non-dropping-particle":"","parse-names":false,"suffix":""},{"dropping-particle":"","family":"Smith","given":"P.","non-dropping-particle":"","parse-names":false,"suffix":""},{"dropping-particle":"","family":"Smith","given":"J.U.","non-dropping-particle":"","parse-names":false,"suffix":""}],"id":"ITEM-1","issued":{"date-parts":[["1996"]]},"page":"237-246","publisher":"Springer","publisher-place":"Berlin, Germany","title":"RothC-26.3-A Model for the turnover of carbon in soil","type":"chapter"},"uris":["http://www.mendeley.com/documents/?uuid=23741915-7cb0-43d0-acc8-f219cf95fdb4"]}],"mendeley":{"formattedCitation":"(Coleman &amp; Jenkinson, 1996)","plainTextFormattedCitation":"(Coleman &amp; Jenkinson, 1996)","previouslyFormattedCitation":"(Coleman &amp; Jenkinson, 1996)"},"properties":{"noteIndex":0},"schema":"https://github.com/citation-style-language/schema/raw/master/csl-citation.json"}</w:instrText>
      </w:r>
      <w:r w:rsidRPr="00C1362F">
        <w:rPr>
          <w:rFonts w:eastAsia="Arial"/>
          <w:sz w:val="24"/>
        </w:rPr>
        <w:fldChar w:fldCharType="separate"/>
      </w:r>
      <w:r w:rsidRPr="00C1362F">
        <w:rPr>
          <w:rFonts w:eastAsia="Arial"/>
          <w:noProof/>
          <w:sz w:val="24"/>
        </w:rPr>
        <w:t>(Coleman &amp; Jenkinson, 1996)</w:t>
      </w:r>
      <w:r w:rsidRPr="00C1362F">
        <w:rPr>
          <w:rFonts w:eastAsia="Arial"/>
          <w:sz w:val="24"/>
        </w:rPr>
        <w:fldChar w:fldCharType="end"/>
      </w:r>
      <w:r w:rsidRPr="00C1362F">
        <w:rPr>
          <w:rFonts w:eastAsia="Arial"/>
          <w:sz w:val="24"/>
        </w:rPr>
        <w:t xml:space="preserve">. This </w:t>
      </w:r>
      <w:r>
        <w:rPr>
          <w:rFonts w:eastAsia="Arial"/>
          <w:sz w:val="24"/>
        </w:rPr>
        <w:t xml:space="preserve">last </w:t>
      </w:r>
      <w:r w:rsidRPr="00C1362F">
        <w:rPr>
          <w:rFonts w:eastAsia="Arial"/>
          <w:sz w:val="24"/>
        </w:rPr>
        <w:t>step derives estimates of C fluxes and SOC stocks, with flux</w:t>
      </w:r>
      <w:r>
        <w:rPr>
          <w:rFonts w:eastAsia="Arial"/>
          <w:sz w:val="24"/>
        </w:rPr>
        <w:t xml:space="preserve"> </w:t>
      </w:r>
      <w:r w:rsidRPr="00C1362F">
        <w:rPr>
          <w:rFonts w:eastAsia="Arial"/>
          <w:sz w:val="24"/>
        </w:rPr>
        <w:t>tower</w:t>
      </w:r>
      <w:r>
        <w:rPr>
          <w:rFonts w:eastAsia="Arial"/>
          <w:sz w:val="24"/>
        </w:rPr>
        <w:t>-</w:t>
      </w:r>
      <w:r w:rsidRPr="00C1362F">
        <w:rPr>
          <w:rFonts w:eastAsia="Arial"/>
          <w:sz w:val="24"/>
        </w:rPr>
        <w:t xml:space="preserve">based measurements of NEE used to parameterize factors associated with SOM decomposition. </w:t>
      </w:r>
    </w:p>
    <w:p w14:paraId="72AF2FF7" w14:textId="77777777" w:rsidR="00F25462" w:rsidRPr="00C1362F" w:rsidRDefault="00F25462" w:rsidP="00F25462">
      <w:pPr>
        <w:spacing w:before="120"/>
        <w:ind w:firstLine="720"/>
        <w:jc w:val="both"/>
        <w:rPr>
          <w:rFonts w:eastAsia="Arial"/>
          <w:sz w:val="24"/>
        </w:rPr>
      </w:pPr>
      <w:r w:rsidRPr="00C1362F">
        <w:rPr>
          <w:rFonts w:eastAsia="Arial"/>
          <w:sz w:val="24"/>
        </w:rPr>
        <w:t xml:space="preserve">The main inputs for RCTM include soil properties (soil texture, moisture, and temperature), climate variables (air temperature, vapor pressure deficit (VPD), solar radiation), land cover type represented by </w:t>
      </w:r>
      <w:r w:rsidRPr="00267B62">
        <w:rPr>
          <w:rFonts w:eastAsia="Arial" w:hint="eastAsia"/>
          <w:sz w:val="24"/>
        </w:rPr>
        <w:t>fractional</w:t>
      </w:r>
      <w:r>
        <w:rPr>
          <w:rFonts w:eastAsia="Arial"/>
          <w:sz w:val="24"/>
        </w:rPr>
        <w:t xml:space="preserve"> coverage of</w:t>
      </w:r>
      <w:r w:rsidRPr="00C1362F">
        <w:rPr>
          <w:rFonts w:eastAsia="Arial"/>
          <w:sz w:val="24"/>
        </w:rPr>
        <w:t xml:space="preserve"> different </w:t>
      </w:r>
      <w:r>
        <w:rPr>
          <w:rFonts w:eastAsia="Arial"/>
          <w:sz w:val="24"/>
        </w:rPr>
        <w:t>vegetation types</w:t>
      </w:r>
      <w:r w:rsidRPr="00C1362F">
        <w:rPr>
          <w:rFonts w:eastAsia="Arial"/>
          <w:sz w:val="24"/>
        </w:rPr>
        <w:t>, and RS-derived fPAR (Table 1). Model outputs include 30</w:t>
      </w:r>
      <w:r>
        <w:rPr>
          <w:rFonts w:eastAsia="Arial"/>
          <w:sz w:val="24"/>
        </w:rPr>
        <w:t xml:space="preserve"> </w:t>
      </w:r>
      <w:r w:rsidRPr="00C1362F">
        <w:rPr>
          <w:rFonts w:eastAsia="Arial"/>
          <w:sz w:val="24"/>
        </w:rPr>
        <w:t>m resolution estimate</w:t>
      </w:r>
      <w:r>
        <w:rPr>
          <w:rFonts w:eastAsia="Arial"/>
          <w:sz w:val="24"/>
        </w:rPr>
        <w:t>s of</w:t>
      </w:r>
      <w:r w:rsidRPr="00C1362F">
        <w:rPr>
          <w:rFonts w:eastAsia="Arial"/>
          <w:sz w:val="24"/>
        </w:rPr>
        <w:t xml:space="preserve"> rangeland productivity represented by GPP at five-day intervals, </w:t>
      </w:r>
      <w:r>
        <w:rPr>
          <w:rFonts w:eastAsia="Arial"/>
          <w:sz w:val="24"/>
        </w:rPr>
        <w:t xml:space="preserve">net </w:t>
      </w:r>
      <w:r w:rsidRPr="00C1362F">
        <w:rPr>
          <w:rFonts w:eastAsia="Arial"/>
          <w:sz w:val="24"/>
        </w:rPr>
        <w:t xml:space="preserve">C fluxes represented by NEE at five-day intervals, and annual surface </w:t>
      </w:r>
      <w:r>
        <w:rPr>
          <w:rFonts w:eastAsia="Arial"/>
          <w:sz w:val="24"/>
        </w:rPr>
        <w:t xml:space="preserve">depth </w:t>
      </w:r>
      <w:r w:rsidRPr="00C1362F">
        <w:rPr>
          <w:rFonts w:eastAsia="Arial"/>
          <w:sz w:val="24"/>
        </w:rPr>
        <w:t xml:space="preserve">SOC stocks </w:t>
      </w:r>
      <w:r>
        <w:rPr>
          <w:rFonts w:eastAsia="Arial"/>
          <w:sz w:val="24"/>
        </w:rPr>
        <w:t xml:space="preserve">over the </w:t>
      </w:r>
      <w:r w:rsidRPr="00C1362F">
        <w:rPr>
          <w:rFonts w:eastAsia="Arial"/>
          <w:sz w:val="24"/>
        </w:rPr>
        <w:t>20-year</w:t>
      </w:r>
      <w:r>
        <w:rPr>
          <w:rFonts w:eastAsia="Arial"/>
          <w:sz w:val="24"/>
        </w:rPr>
        <w:t xml:space="preserve"> record (2003 – 2022)</w:t>
      </w:r>
      <w:r w:rsidRPr="00C1362F">
        <w:rPr>
          <w:rFonts w:eastAsia="Arial"/>
          <w:sz w:val="24"/>
        </w:rPr>
        <w:t xml:space="preserve">. The development and application steps for RCTM </w:t>
      </w:r>
      <w:r>
        <w:rPr>
          <w:rFonts w:eastAsia="Arial"/>
          <w:sz w:val="24"/>
        </w:rPr>
        <w:t>are</w:t>
      </w:r>
      <w:r w:rsidRPr="00C1362F">
        <w:rPr>
          <w:rFonts w:eastAsia="Arial"/>
          <w:sz w:val="24"/>
        </w:rPr>
        <w:t xml:space="preserve"> outlined in SI: Fig. A1. </w:t>
      </w:r>
    </w:p>
    <w:p w14:paraId="45D0095F" w14:textId="77777777" w:rsidR="00F25462" w:rsidRPr="00C1362F" w:rsidRDefault="00F25462" w:rsidP="00F25462">
      <w:pPr>
        <w:spacing w:line="480" w:lineRule="auto"/>
        <w:jc w:val="center"/>
        <w:rPr>
          <w:rFonts w:eastAsia="Arial"/>
          <w:sz w:val="24"/>
        </w:rPr>
      </w:pPr>
      <w:r w:rsidRPr="00C1362F">
        <w:rPr>
          <w:rFonts w:eastAsia="Arial"/>
          <w:noProof/>
          <w:sz w:val="24"/>
        </w:rPr>
        <w:lastRenderedPageBreak/>
        <w:drawing>
          <wp:inline distT="0" distB="0" distL="0" distR="0" wp14:anchorId="24D9BC6A" wp14:editId="501E07BF">
            <wp:extent cx="5911693" cy="4893095"/>
            <wp:effectExtent l="0" t="0" r="0" b="3175"/>
            <wp:docPr id="1697802185" name="Picture 1" descr="A diagram of a software syste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7802185" name="Picture 1" descr="A diagram of a software system&#10;&#10;Description automatically generated with medium confidence"/>
                    <pic:cNvPicPr>
                      <a:picLocks noChangeAspect="1" noChangeArrowheads="1"/>
                    </pic:cNvPicPr>
                  </pic:nvPicPr>
                  <pic:blipFill rotWithShape="1">
                    <a:blip r:embed="rId8">
                      <a:extLst>
                        <a:ext uri="{28A0092B-C50C-407E-A947-70E740481C1C}">
                          <a14:useLocalDpi xmlns:a14="http://schemas.microsoft.com/office/drawing/2010/main"/>
                        </a:ext>
                      </a:extLst>
                    </a:blip>
                    <a:srcRect/>
                    <a:stretch/>
                  </pic:blipFill>
                  <pic:spPr bwMode="auto">
                    <a:xfrm>
                      <a:off x="0" y="0"/>
                      <a:ext cx="5990639" cy="4958439"/>
                    </a:xfrm>
                    <a:prstGeom prst="rect">
                      <a:avLst/>
                    </a:prstGeom>
                    <a:noFill/>
                    <a:ln>
                      <a:noFill/>
                    </a:ln>
                    <a:extLst>
                      <a:ext uri="{53640926-AAD7-44D8-BBD7-CCE9431645EC}">
                        <a14:shadowObscured xmlns:a14="http://schemas.microsoft.com/office/drawing/2010/main"/>
                      </a:ext>
                    </a:extLst>
                  </pic:spPr>
                </pic:pic>
              </a:graphicData>
            </a:graphic>
          </wp:inline>
        </w:drawing>
      </w:r>
    </w:p>
    <w:p w14:paraId="5904580D" w14:textId="37690635" w:rsidR="00F25462" w:rsidRPr="00C1362F" w:rsidRDefault="00F25462" w:rsidP="00E77D36">
      <w:pPr>
        <w:spacing w:before="240"/>
        <w:jc w:val="both"/>
        <w:rPr>
          <w:rFonts w:eastAsia="Arial"/>
          <w:sz w:val="24"/>
        </w:rPr>
      </w:pPr>
      <w:r w:rsidRPr="00C1362F">
        <w:rPr>
          <w:rFonts w:eastAsia="Arial"/>
          <w:b/>
          <w:bCs/>
          <w:sz w:val="24"/>
        </w:rPr>
        <w:t>Figure 1.</w:t>
      </w:r>
      <w:r w:rsidRPr="00C1362F">
        <w:rPr>
          <w:rFonts w:eastAsia="Arial"/>
          <w:sz w:val="24"/>
        </w:rPr>
        <w:t xml:space="preserve"> Components of Rangeland Carbon Tracking and Monitoring (RCTM) system. The primary RCTM inputs include remote sensing images, soil properties, climate data, and </w:t>
      </w:r>
      <w:r w:rsidR="000062C4">
        <w:rPr>
          <w:rFonts w:eastAsia="Arial"/>
          <w:sz w:val="24"/>
        </w:rPr>
        <w:t>vegetation</w:t>
      </w:r>
      <w:r w:rsidRPr="00C1362F">
        <w:rPr>
          <w:rFonts w:eastAsia="Arial"/>
          <w:sz w:val="24"/>
        </w:rPr>
        <w:t xml:space="preserve"> type, while the outputs include spatial and temporal estimates of rangeland carbon dynamics. </w:t>
      </w:r>
    </w:p>
    <w:p w14:paraId="16B2E30F" w14:textId="77777777" w:rsidR="00F25462" w:rsidRPr="00C1362F" w:rsidRDefault="00F25462" w:rsidP="00F25462">
      <w:pPr>
        <w:spacing w:line="480" w:lineRule="auto"/>
        <w:jc w:val="both"/>
        <w:rPr>
          <w:rFonts w:eastAsia="Arial"/>
          <w:sz w:val="24"/>
        </w:rPr>
      </w:pPr>
    </w:p>
    <w:p w14:paraId="67BD8559" w14:textId="77777777" w:rsidR="00F25462" w:rsidRPr="00C1362F" w:rsidRDefault="00F25462" w:rsidP="00F25462">
      <w:pPr>
        <w:spacing w:line="480" w:lineRule="auto"/>
        <w:jc w:val="both"/>
        <w:rPr>
          <w:rFonts w:eastAsia="Arial"/>
          <w:sz w:val="24"/>
        </w:rPr>
        <w:sectPr w:rsidR="00F25462" w:rsidRPr="00C1362F" w:rsidSect="001931EB">
          <w:footerReference w:type="default" r:id="rId9"/>
          <w:type w:val="continuous"/>
          <w:pgSz w:w="12240" w:h="15840"/>
          <w:pgMar w:top="1440" w:right="1440" w:bottom="1440" w:left="1440" w:header="720" w:footer="720" w:gutter="0"/>
          <w:lnNumType w:countBy="1" w:restart="continuous"/>
          <w:cols w:space="720"/>
          <w:docGrid w:linePitch="360"/>
        </w:sectPr>
      </w:pPr>
    </w:p>
    <w:p w14:paraId="6CB18B6F" w14:textId="77777777" w:rsidR="00F25462" w:rsidRPr="00C1362F" w:rsidRDefault="00F25462" w:rsidP="00E77D36">
      <w:pPr>
        <w:spacing w:before="240"/>
        <w:jc w:val="both"/>
        <w:rPr>
          <w:rFonts w:eastAsia="Times New Roman"/>
          <w:sz w:val="24"/>
          <w:szCs w:val="24"/>
        </w:rPr>
      </w:pPr>
      <w:r w:rsidRPr="00C1362F">
        <w:rPr>
          <w:rFonts w:eastAsia="Times New Roman"/>
          <w:b/>
          <w:bCs/>
          <w:color w:val="000000"/>
          <w:sz w:val="24"/>
          <w:szCs w:val="24"/>
        </w:rPr>
        <w:lastRenderedPageBreak/>
        <w:t>Table 1.</w:t>
      </w:r>
      <w:r w:rsidRPr="00C1362F">
        <w:rPr>
          <w:rFonts w:eastAsia="Times New Roman"/>
          <w:sz w:val="24"/>
          <w:szCs w:val="24"/>
        </w:rPr>
        <w:t xml:space="preserve"> </w:t>
      </w:r>
      <w:r w:rsidRPr="00C1362F">
        <w:rPr>
          <w:rFonts w:eastAsia="Times New Roman"/>
          <w:color w:val="000000"/>
          <w:sz w:val="24"/>
          <w:szCs w:val="24"/>
        </w:rPr>
        <w:t xml:space="preserve">The input </w:t>
      </w:r>
      <w:r>
        <w:rPr>
          <w:rFonts w:eastAsia="Times New Roman"/>
          <w:color w:val="000000"/>
          <w:sz w:val="24"/>
          <w:szCs w:val="24"/>
        </w:rPr>
        <w:t>environmental</w:t>
      </w:r>
      <w:r w:rsidRPr="00C1362F">
        <w:rPr>
          <w:rFonts w:eastAsia="Times New Roman"/>
          <w:color w:val="000000"/>
          <w:sz w:val="24"/>
          <w:szCs w:val="24"/>
        </w:rPr>
        <w:t xml:space="preserve"> datasets for the Rangeland Carbon Tracking and Monitoring (RCTM) system.</w:t>
      </w:r>
    </w:p>
    <w:tbl>
      <w:tblPr>
        <w:tblW w:w="5000" w:type="pct"/>
        <w:tblCellMar>
          <w:top w:w="15" w:type="dxa"/>
          <w:left w:w="15" w:type="dxa"/>
          <w:bottom w:w="15" w:type="dxa"/>
          <w:right w:w="15" w:type="dxa"/>
        </w:tblCellMar>
        <w:tblLook w:val="04A0" w:firstRow="1" w:lastRow="0" w:firstColumn="1" w:lastColumn="0" w:noHBand="0" w:noVBand="1"/>
      </w:tblPr>
      <w:tblGrid>
        <w:gridCol w:w="1063"/>
        <w:gridCol w:w="1783"/>
        <w:gridCol w:w="1244"/>
        <w:gridCol w:w="1247"/>
        <w:gridCol w:w="65"/>
        <w:gridCol w:w="1472"/>
        <w:gridCol w:w="3745"/>
        <w:gridCol w:w="2341"/>
      </w:tblGrid>
      <w:tr w:rsidR="00F25462" w:rsidRPr="00C1362F" w14:paraId="1959B8DA" w14:textId="77777777" w:rsidTr="000D368A">
        <w:tc>
          <w:tcPr>
            <w:tcW w:w="410" w:type="pct"/>
            <w:vMerge w:val="restart"/>
            <w:tcBorders>
              <w:top w:val="single" w:sz="12" w:space="0" w:color="000000"/>
            </w:tcBorders>
            <w:tcMar>
              <w:top w:w="0" w:type="dxa"/>
              <w:left w:w="108" w:type="dxa"/>
              <w:bottom w:w="0" w:type="dxa"/>
              <w:right w:w="108" w:type="dxa"/>
            </w:tcMar>
            <w:vAlign w:val="center"/>
            <w:hideMark/>
          </w:tcPr>
          <w:p w14:paraId="723F14F0" w14:textId="77777777" w:rsidR="00F25462" w:rsidRPr="00C1362F" w:rsidRDefault="00F25462" w:rsidP="000D368A">
            <w:pPr>
              <w:rPr>
                <w:rFonts w:eastAsia="Times New Roman"/>
              </w:rPr>
            </w:pPr>
            <w:r w:rsidRPr="00C1362F">
              <w:rPr>
                <w:rFonts w:eastAsia="Times New Roman"/>
                <w:color w:val="000000"/>
              </w:rPr>
              <w:t>Data type</w:t>
            </w:r>
          </w:p>
        </w:tc>
        <w:tc>
          <w:tcPr>
            <w:tcW w:w="688" w:type="pct"/>
            <w:vMerge w:val="restart"/>
            <w:tcBorders>
              <w:top w:val="single" w:sz="12" w:space="0" w:color="000000"/>
            </w:tcBorders>
            <w:tcMar>
              <w:top w:w="0" w:type="dxa"/>
              <w:left w:w="108" w:type="dxa"/>
              <w:bottom w:w="0" w:type="dxa"/>
              <w:right w:w="108" w:type="dxa"/>
            </w:tcMar>
            <w:vAlign w:val="center"/>
            <w:hideMark/>
          </w:tcPr>
          <w:p w14:paraId="79131F83" w14:textId="77777777" w:rsidR="00F25462" w:rsidRPr="00C1362F" w:rsidRDefault="00F25462" w:rsidP="000D368A">
            <w:pPr>
              <w:jc w:val="center"/>
              <w:rPr>
                <w:rFonts w:eastAsia="Times New Roman"/>
              </w:rPr>
            </w:pPr>
            <w:r>
              <w:rPr>
                <w:rFonts w:eastAsia="Times New Roman"/>
                <w:color w:val="000000"/>
              </w:rPr>
              <w:t>Variables</w:t>
            </w:r>
            <w:r w:rsidRPr="00C1362F">
              <w:rPr>
                <w:rFonts w:eastAsia="Times New Roman"/>
                <w:color w:val="000000"/>
              </w:rPr>
              <w:t xml:space="preserve"> </w:t>
            </w:r>
            <w:r w:rsidRPr="00C1362F">
              <w:rPr>
                <w:color w:val="000000"/>
                <w:vertAlign w:val="superscript"/>
              </w:rPr>
              <w:t>a</w:t>
            </w:r>
          </w:p>
        </w:tc>
        <w:tc>
          <w:tcPr>
            <w:tcW w:w="961" w:type="pct"/>
            <w:gridSpan w:val="2"/>
            <w:tcBorders>
              <w:top w:val="single" w:sz="12" w:space="0" w:color="000000"/>
              <w:bottom w:val="single" w:sz="12" w:space="0" w:color="000000"/>
            </w:tcBorders>
            <w:tcMar>
              <w:top w:w="0" w:type="dxa"/>
              <w:left w:w="108" w:type="dxa"/>
              <w:bottom w:w="0" w:type="dxa"/>
              <w:right w:w="108" w:type="dxa"/>
            </w:tcMar>
            <w:vAlign w:val="center"/>
            <w:hideMark/>
          </w:tcPr>
          <w:p w14:paraId="6DACED2F" w14:textId="77777777" w:rsidR="00F25462" w:rsidRPr="00C1362F" w:rsidRDefault="00F25462" w:rsidP="000D368A">
            <w:pPr>
              <w:jc w:val="center"/>
              <w:rPr>
                <w:rFonts w:eastAsia="Times New Roman"/>
              </w:rPr>
            </w:pPr>
            <w:r w:rsidRPr="00C1362F">
              <w:rPr>
                <w:rFonts w:eastAsia="Times New Roman"/>
                <w:color w:val="000000"/>
              </w:rPr>
              <w:t>Original resolution</w:t>
            </w:r>
          </w:p>
        </w:tc>
        <w:tc>
          <w:tcPr>
            <w:tcW w:w="593" w:type="pct"/>
            <w:gridSpan w:val="2"/>
            <w:vMerge w:val="restart"/>
            <w:tcBorders>
              <w:top w:val="single" w:sz="12" w:space="0" w:color="000000"/>
            </w:tcBorders>
            <w:tcMar>
              <w:top w:w="0" w:type="dxa"/>
              <w:left w:w="108" w:type="dxa"/>
              <w:bottom w:w="0" w:type="dxa"/>
              <w:right w:w="108" w:type="dxa"/>
            </w:tcMar>
            <w:vAlign w:val="center"/>
            <w:hideMark/>
          </w:tcPr>
          <w:p w14:paraId="1E140303" w14:textId="77777777" w:rsidR="00F25462" w:rsidRPr="00C1362F" w:rsidRDefault="00F25462" w:rsidP="000D368A">
            <w:pPr>
              <w:jc w:val="center"/>
              <w:rPr>
                <w:rFonts w:eastAsia="Times New Roman"/>
              </w:rPr>
            </w:pPr>
            <w:r w:rsidRPr="00C1362F">
              <w:rPr>
                <w:rFonts w:eastAsia="Times New Roman"/>
                <w:color w:val="000000"/>
              </w:rPr>
              <w:t>Full temporal coverage</w:t>
            </w:r>
          </w:p>
        </w:tc>
        <w:tc>
          <w:tcPr>
            <w:tcW w:w="1445" w:type="pct"/>
            <w:vMerge w:val="restart"/>
            <w:tcBorders>
              <w:top w:val="single" w:sz="12" w:space="0" w:color="000000"/>
            </w:tcBorders>
            <w:vAlign w:val="center"/>
          </w:tcPr>
          <w:p w14:paraId="00C442F7" w14:textId="77777777" w:rsidR="00F25462" w:rsidRPr="00C1362F" w:rsidRDefault="00F25462" w:rsidP="000D368A">
            <w:pPr>
              <w:jc w:val="center"/>
              <w:rPr>
                <w:rFonts w:eastAsia="Times New Roman"/>
                <w:color w:val="000000"/>
              </w:rPr>
            </w:pPr>
            <w:r w:rsidRPr="00C1362F">
              <w:rPr>
                <w:rFonts w:eastAsia="Times New Roman"/>
                <w:color w:val="000000"/>
              </w:rPr>
              <w:t xml:space="preserve">Usage </w:t>
            </w:r>
            <w:r w:rsidRPr="00C1362F">
              <w:rPr>
                <w:color w:val="000000"/>
                <w:vertAlign w:val="superscript"/>
              </w:rPr>
              <w:t>b</w:t>
            </w:r>
          </w:p>
        </w:tc>
        <w:tc>
          <w:tcPr>
            <w:tcW w:w="903" w:type="pct"/>
            <w:vMerge w:val="restart"/>
            <w:tcBorders>
              <w:top w:val="single" w:sz="12" w:space="0" w:color="000000"/>
            </w:tcBorders>
            <w:tcMar>
              <w:top w:w="0" w:type="dxa"/>
              <w:left w:w="108" w:type="dxa"/>
              <w:bottom w:w="0" w:type="dxa"/>
              <w:right w:w="108" w:type="dxa"/>
            </w:tcMar>
            <w:vAlign w:val="center"/>
            <w:hideMark/>
          </w:tcPr>
          <w:p w14:paraId="0449AC0A" w14:textId="77777777" w:rsidR="00F25462" w:rsidRPr="00C1362F" w:rsidRDefault="00F25462" w:rsidP="000D368A">
            <w:pPr>
              <w:jc w:val="center"/>
              <w:rPr>
                <w:rFonts w:eastAsia="Times New Roman"/>
              </w:rPr>
            </w:pPr>
            <w:r w:rsidRPr="00C1362F">
              <w:rPr>
                <w:rFonts w:eastAsia="Times New Roman"/>
                <w:color w:val="000000"/>
              </w:rPr>
              <w:t xml:space="preserve">Source and reference </w:t>
            </w:r>
            <w:r w:rsidRPr="00C1362F">
              <w:rPr>
                <w:color w:val="000000"/>
                <w:vertAlign w:val="superscript"/>
              </w:rPr>
              <w:t>c</w:t>
            </w:r>
          </w:p>
        </w:tc>
      </w:tr>
      <w:tr w:rsidR="00F25462" w:rsidRPr="00C1362F" w14:paraId="2E1A4861" w14:textId="77777777" w:rsidTr="000D368A">
        <w:trPr>
          <w:trHeight w:val="495"/>
        </w:trPr>
        <w:tc>
          <w:tcPr>
            <w:tcW w:w="410" w:type="pct"/>
            <w:vMerge/>
            <w:tcBorders>
              <w:bottom w:val="single" w:sz="4" w:space="0" w:color="000000"/>
            </w:tcBorders>
            <w:vAlign w:val="center"/>
            <w:hideMark/>
          </w:tcPr>
          <w:p w14:paraId="22155188" w14:textId="77777777" w:rsidR="00F25462" w:rsidRPr="00C1362F" w:rsidRDefault="00F25462" w:rsidP="000D368A">
            <w:pPr>
              <w:rPr>
                <w:rFonts w:eastAsia="Times New Roman"/>
              </w:rPr>
            </w:pPr>
          </w:p>
        </w:tc>
        <w:tc>
          <w:tcPr>
            <w:tcW w:w="688" w:type="pct"/>
            <w:vMerge/>
            <w:tcBorders>
              <w:bottom w:val="single" w:sz="4" w:space="0" w:color="000000"/>
            </w:tcBorders>
            <w:vAlign w:val="center"/>
            <w:hideMark/>
          </w:tcPr>
          <w:p w14:paraId="26E589CF" w14:textId="77777777" w:rsidR="00F25462" w:rsidRPr="00C1362F" w:rsidRDefault="00F25462" w:rsidP="000D368A">
            <w:pPr>
              <w:rPr>
                <w:rFonts w:eastAsia="Times New Roman"/>
              </w:rPr>
            </w:pPr>
          </w:p>
        </w:tc>
        <w:tc>
          <w:tcPr>
            <w:tcW w:w="480" w:type="pct"/>
            <w:tcBorders>
              <w:top w:val="single" w:sz="12" w:space="0" w:color="000000"/>
              <w:bottom w:val="single" w:sz="4" w:space="0" w:color="000000"/>
            </w:tcBorders>
            <w:tcMar>
              <w:top w:w="0" w:type="dxa"/>
              <w:left w:w="108" w:type="dxa"/>
              <w:bottom w:w="0" w:type="dxa"/>
              <w:right w:w="108" w:type="dxa"/>
            </w:tcMar>
            <w:vAlign w:val="center"/>
            <w:hideMark/>
          </w:tcPr>
          <w:p w14:paraId="4EE4871E" w14:textId="77777777" w:rsidR="00F25462" w:rsidRPr="00C1362F" w:rsidRDefault="00F25462" w:rsidP="000D368A">
            <w:pPr>
              <w:jc w:val="center"/>
              <w:rPr>
                <w:rFonts w:eastAsia="Times New Roman"/>
              </w:rPr>
            </w:pPr>
            <w:r w:rsidRPr="00C1362F">
              <w:rPr>
                <w:rFonts w:eastAsia="Times New Roman"/>
                <w:color w:val="000000"/>
              </w:rPr>
              <w:t>Spatial</w:t>
            </w:r>
          </w:p>
        </w:tc>
        <w:tc>
          <w:tcPr>
            <w:tcW w:w="481" w:type="pct"/>
            <w:tcBorders>
              <w:top w:val="single" w:sz="12" w:space="0" w:color="000000"/>
              <w:bottom w:val="single" w:sz="4" w:space="0" w:color="000000"/>
            </w:tcBorders>
            <w:tcMar>
              <w:top w:w="0" w:type="dxa"/>
              <w:left w:w="108" w:type="dxa"/>
              <w:bottom w:w="0" w:type="dxa"/>
              <w:right w:w="108" w:type="dxa"/>
            </w:tcMar>
            <w:vAlign w:val="center"/>
            <w:hideMark/>
          </w:tcPr>
          <w:p w14:paraId="3020573A" w14:textId="77777777" w:rsidR="00F25462" w:rsidRPr="00C1362F" w:rsidRDefault="00F25462" w:rsidP="000D368A">
            <w:pPr>
              <w:jc w:val="center"/>
              <w:rPr>
                <w:rFonts w:eastAsia="Times New Roman"/>
              </w:rPr>
            </w:pPr>
            <w:r w:rsidRPr="00C1362F">
              <w:rPr>
                <w:rFonts w:eastAsia="Times New Roman"/>
                <w:color w:val="000000"/>
              </w:rPr>
              <w:t>Temporal</w:t>
            </w:r>
          </w:p>
        </w:tc>
        <w:tc>
          <w:tcPr>
            <w:tcW w:w="593" w:type="pct"/>
            <w:gridSpan w:val="2"/>
            <w:vMerge/>
            <w:tcBorders>
              <w:bottom w:val="single" w:sz="4" w:space="0" w:color="000000"/>
            </w:tcBorders>
            <w:vAlign w:val="center"/>
            <w:hideMark/>
          </w:tcPr>
          <w:p w14:paraId="63BF10ED" w14:textId="77777777" w:rsidR="00F25462" w:rsidRPr="00C1362F" w:rsidRDefault="00F25462" w:rsidP="000D368A">
            <w:pPr>
              <w:rPr>
                <w:rFonts w:eastAsia="Times New Roman"/>
              </w:rPr>
            </w:pPr>
          </w:p>
        </w:tc>
        <w:tc>
          <w:tcPr>
            <w:tcW w:w="1445" w:type="pct"/>
            <w:vMerge/>
            <w:tcBorders>
              <w:bottom w:val="single" w:sz="4" w:space="0" w:color="000000"/>
            </w:tcBorders>
            <w:vAlign w:val="center"/>
          </w:tcPr>
          <w:p w14:paraId="33F95187" w14:textId="77777777" w:rsidR="00F25462" w:rsidRPr="00C1362F" w:rsidRDefault="00F25462" w:rsidP="000D368A">
            <w:pPr>
              <w:jc w:val="center"/>
              <w:rPr>
                <w:rFonts w:eastAsia="Times New Roman"/>
              </w:rPr>
            </w:pPr>
          </w:p>
        </w:tc>
        <w:tc>
          <w:tcPr>
            <w:tcW w:w="903" w:type="pct"/>
            <w:vMerge/>
            <w:tcBorders>
              <w:bottom w:val="single" w:sz="4" w:space="0" w:color="000000"/>
            </w:tcBorders>
            <w:vAlign w:val="center"/>
            <w:hideMark/>
          </w:tcPr>
          <w:p w14:paraId="7EB9846D" w14:textId="77777777" w:rsidR="00F25462" w:rsidRPr="00C1362F" w:rsidRDefault="00F25462" w:rsidP="000D368A">
            <w:pPr>
              <w:rPr>
                <w:rFonts w:eastAsia="Times New Roman"/>
              </w:rPr>
            </w:pPr>
          </w:p>
        </w:tc>
      </w:tr>
      <w:tr w:rsidR="00F25462" w:rsidRPr="00C1362F" w14:paraId="47381831" w14:textId="77777777" w:rsidTr="000D368A">
        <w:trPr>
          <w:trHeight w:val="470"/>
        </w:trPr>
        <w:tc>
          <w:tcPr>
            <w:tcW w:w="410" w:type="pct"/>
            <w:vMerge w:val="restart"/>
            <w:tcBorders>
              <w:top w:val="single" w:sz="4" w:space="0" w:color="000000"/>
            </w:tcBorders>
            <w:tcMar>
              <w:top w:w="0" w:type="dxa"/>
              <w:left w:w="108" w:type="dxa"/>
              <w:bottom w:w="0" w:type="dxa"/>
              <w:right w:w="108" w:type="dxa"/>
            </w:tcMar>
            <w:vAlign w:val="center"/>
            <w:hideMark/>
          </w:tcPr>
          <w:p w14:paraId="4157719A" w14:textId="77777777" w:rsidR="00F25462" w:rsidRPr="00C1362F" w:rsidRDefault="00F25462" w:rsidP="000D368A">
            <w:pPr>
              <w:rPr>
                <w:rFonts w:eastAsia="Times New Roman"/>
              </w:rPr>
            </w:pPr>
            <w:r w:rsidRPr="00C1362F">
              <w:rPr>
                <w:rFonts w:eastAsia="Times New Roman"/>
                <w:color w:val="000000"/>
              </w:rPr>
              <w:t>Soil properties</w:t>
            </w:r>
          </w:p>
          <w:p w14:paraId="52ADFBE8" w14:textId="77777777" w:rsidR="00F25462" w:rsidRPr="00C1362F" w:rsidRDefault="00F25462" w:rsidP="000D368A">
            <w:pPr>
              <w:rPr>
                <w:rFonts w:eastAsia="Times New Roman"/>
              </w:rPr>
            </w:pPr>
          </w:p>
        </w:tc>
        <w:tc>
          <w:tcPr>
            <w:tcW w:w="688" w:type="pct"/>
            <w:tcBorders>
              <w:top w:val="single" w:sz="4" w:space="0" w:color="000000"/>
            </w:tcBorders>
            <w:tcMar>
              <w:top w:w="0" w:type="dxa"/>
              <w:left w:w="108" w:type="dxa"/>
              <w:bottom w:w="0" w:type="dxa"/>
              <w:right w:w="108" w:type="dxa"/>
            </w:tcMar>
            <w:vAlign w:val="center"/>
            <w:hideMark/>
          </w:tcPr>
          <w:p w14:paraId="77A5E0C0" w14:textId="77777777" w:rsidR="00F25462" w:rsidRPr="00C1362F" w:rsidRDefault="00F25462" w:rsidP="000D368A">
            <w:pPr>
              <w:jc w:val="center"/>
              <w:rPr>
                <w:rFonts w:eastAsia="Times New Roman"/>
              </w:rPr>
            </w:pPr>
            <w:r w:rsidRPr="00C1362F">
              <w:rPr>
                <w:rFonts w:eastAsia="Times New Roman"/>
                <w:color w:val="000000"/>
              </w:rPr>
              <w:t>Clay%</w:t>
            </w:r>
          </w:p>
        </w:tc>
        <w:tc>
          <w:tcPr>
            <w:tcW w:w="480" w:type="pct"/>
            <w:tcBorders>
              <w:top w:val="single" w:sz="4" w:space="0" w:color="000000"/>
            </w:tcBorders>
            <w:tcMar>
              <w:top w:w="0" w:type="dxa"/>
              <w:left w:w="108" w:type="dxa"/>
              <w:bottom w:w="0" w:type="dxa"/>
              <w:right w:w="108" w:type="dxa"/>
            </w:tcMar>
            <w:vAlign w:val="center"/>
            <w:hideMark/>
          </w:tcPr>
          <w:p w14:paraId="31AC0E0D" w14:textId="77777777" w:rsidR="00F25462" w:rsidRPr="00C1362F" w:rsidRDefault="00F25462" w:rsidP="000D368A">
            <w:pPr>
              <w:jc w:val="center"/>
              <w:rPr>
                <w:rFonts w:eastAsia="Times New Roman"/>
              </w:rPr>
            </w:pPr>
            <w:r w:rsidRPr="00C1362F">
              <w:rPr>
                <w:rFonts w:eastAsia="Times New Roman"/>
                <w:color w:val="000000"/>
              </w:rPr>
              <w:t>100 m</w:t>
            </w:r>
          </w:p>
        </w:tc>
        <w:tc>
          <w:tcPr>
            <w:tcW w:w="1074" w:type="pct"/>
            <w:gridSpan w:val="3"/>
            <w:tcBorders>
              <w:top w:val="single" w:sz="4" w:space="0" w:color="000000"/>
              <w:bottom w:val="single" w:sz="4" w:space="0" w:color="000000"/>
            </w:tcBorders>
            <w:tcMar>
              <w:top w:w="0" w:type="dxa"/>
              <w:left w:w="108" w:type="dxa"/>
              <w:bottom w:w="0" w:type="dxa"/>
              <w:right w:w="108" w:type="dxa"/>
            </w:tcMar>
            <w:vAlign w:val="center"/>
            <w:hideMark/>
          </w:tcPr>
          <w:p w14:paraId="30A3DC92" w14:textId="77777777" w:rsidR="00F25462" w:rsidRPr="00C1362F" w:rsidRDefault="00F25462" w:rsidP="000D368A">
            <w:pPr>
              <w:jc w:val="center"/>
              <w:rPr>
                <w:rFonts w:eastAsia="Times New Roman"/>
              </w:rPr>
            </w:pPr>
            <w:r w:rsidRPr="00C1362F">
              <w:rPr>
                <w:rFonts w:eastAsia="Times New Roman"/>
                <w:color w:val="000000"/>
              </w:rPr>
              <w:t xml:space="preserve">Only once in time </w:t>
            </w:r>
          </w:p>
        </w:tc>
        <w:tc>
          <w:tcPr>
            <w:tcW w:w="1445" w:type="pct"/>
            <w:tcBorders>
              <w:top w:val="single" w:sz="4" w:space="0" w:color="000000"/>
            </w:tcBorders>
            <w:vAlign w:val="center"/>
          </w:tcPr>
          <w:p w14:paraId="19518A55" w14:textId="77777777" w:rsidR="00F25462" w:rsidRPr="00C1362F" w:rsidRDefault="00F25462" w:rsidP="000D368A">
            <w:pPr>
              <w:jc w:val="center"/>
              <w:rPr>
                <w:rFonts w:eastAsia="Times New Roman"/>
                <w:color w:val="000000"/>
              </w:rPr>
            </w:pPr>
            <w:r>
              <w:rPr>
                <w:rFonts w:eastAsia="Times New Roman"/>
                <w:color w:val="000000"/>
              </w:rPr>
              <w:t>Model s</w:t>
            </w:r>
            <w:r w:rsidRPr="00C1362F">
              <w:rPr>
                <w:rFonts w:eastAsia="Times New Roman"/>
                <w:color w:val="000000"/>
              </w:rPr>
              <w:t>pin-up, NEE calibration, SOC estimation, and site-based correlation analysis</w:t>
            </w:r>
          </w:p>
        </w:tc>
        <w:tc>
          <w:tcPr>
            <w:tcW w:w="903" w:type="pct"/>
            <w:tcBorders>
              <w:top w:val="single" w:sz="4" w:space="0" w:color="000000"/>
            </w:tcBorders>
            <w:tcMar>
              <w:top w:w="0" w:type="dxa"/>
              <w:left w:w="108" w:type="dxa"/>
              <w:bottom w:w="0" w:type="dxa"/>
              <w:right w:w="108" w:type="dxa"/>
            </w:tcMar>
            <w:vAlign w:val="center"/>
            <w:hideMark/>
          </w:tcPr>
          <w:p w14:paraId="6834A8AE" w14:textId="77777777" w:rsidR="00F25462" w:rsidRPr="00C1362F" w:rsidRDefault="00F25462" w:rsidP="000D368A">
            <w:pPr>
              <w:jc w:val="center"/>
              <w:rPr>
                <w:rFonts w:eastAsia="Times New Roman"/>
              </w:rPr>
            </w:pPr>
            <w:r w:rsidRPr="00C1362F">
              <w:rPr>
                <w:rFonts w:eastAsia="Times New Roman"/>
                <w:color w:val="000000"/>
              </w:rPr>
              <w:t xml:space="preserve">SoilGrids+ </w:t>
            </w:r>
            <w:bookmarkStart w:id="2" w:name="_Hlk150419429"/>
            <w:r w:rsidRPr="00C1362F">
              <w:rPr>
                <w:rFonts w:eastAsia="Times New Roman"/>
                <w:color w:val="000000"/>
              </w:rPr>
              <w:fldChar w:fldCharType="begin" w:fldLock="1"/>
            </w:r>
            <w:r w:rsidRPr="00C1362F">
              <w:rPr>
                <w:rFonts w:eastAsia="Times New Roman"/>
                <w:color w:val="000000"/>
              </w:rPr>
              <w:instrText>ADDIN CSL_CITATION {"citationItems":[{"id":"ITEM-1","itemData":{"DOI":"10.2136/sssaj2017.04.0122","ISSN":"14350661","abstract":"With growing concern for the depletion of soil resources, conventional soil maps need to be updated and provided at finer and finer resolutions to be able to support spatially explicit human-landscape models. Three US soil point datasets-the National Cooperative Soil Survey Characterization Database, the National Soil Information System, and the Rapid Carbon Assessment dataset-were combined with a stack of over 200 environmental datasets and gSSURGO polygon maps to generate complete coverage gridded predictions at 100-m spatial resolution of six soil properties (percentage of organic C, total N, bulk density, pH, and percentage of sand and clay) and two US soil taxonomic classes (291 great groups [GGs] and 78 modified particle size classes [mPSCs]) for the conterminous United States. Models were built using parallelized random forest and gradient boosting algorithms as implemented in the ranger and xgboost packages for R. Soil property predictions were generated at seven standard soil depths (0, 5, 15, 30, 60, 100, and 200 cm). Prediction probability maps for US soil taxonomic classifications were also generated. Cross validation results indicated an out-of-bag classification accuracy of 60% for GGs and 66% for mPSCs; for soil properties, RMSE for leave-location-out cross-validation was 0.74 (R2 = 0.68), 17.8 wt% (R2 = 0.57), 12 wt% (R2 = 0.46), 3.63 wt% (R2 = 0.41), 0.2 g cm-3 (R2 = 0.42), and 0.27 wt% (R2 = 0.39) for pH, percent sand and clay, weight percentage of organic C, bulk density, and weight percentage of total N, respectively. Nine independent validation datasets were used to assess prediction accuracies for soil class models, and results ranged between 24 and 58% and between 24 and 93% for GG and mPSC prediction accuracies, respectively. Although mapping accuracies were variable and likely lower than gSSURGO in some areas, this modeling approach can enable easier integration of soil information with spatially explicit models compared with multicomponent map units.","author":[{"dropping-particle":"","family":"Ramcharan","given":"Amanda","non-dropping-particle":"","parse-names":false,"suffix":""},{"dropping-particle":"","family":"Hengl","given":"Tomislav","non-dropping-particle":"","parse-names":false,"suffix":""},{"dropping-particle":"","family":"Nauman","given":"Travis","non-dropping-particle":"","parse-names":false,"suffix":""},{"dropping-particle":"","family":"Brungard","given":"Colby","non-dropping-particle":"","parse-names":false,"suffix":""},{"dropping-particle":"","family":"Waltman","given":"Sharon","non-dropping-particle":"","parse-names":false,"suffix":""},{"dropping-particle":"","family":"Wills","given":"Skye","non-dropping-particle":"","parse-names":false,"suffix":""},{"dropping-particle":"","family":"Thompson","given":"James","non-dropping-particle":"","parse-names":false,"suffix":""}],"container-title":"Soil Science Society of America Journal","id":"ITEM-1","issue":"1","issued":{"date-parts":[["2018"]]},"page":"186-201","title":"Soil property and class maps of the conterminous United States at 100-meter spatial resolution","type":"article-journal","volume":"82"},"uris":["http://www.mendeley.com/documents/?uuid=f849021a-81e9-4e99-ab69-cce84b455fee"]}],"mendeley":{"formattedCitation":"(Ramcharan et al., 2018)","plainTextFormattedCitation":"(Ramcharan et al., 2018)","previouslyFormattedCitation":"(Ramcharan et al., 2018)"},"properties":{"noteIndex":0},"schema":"https://github.com/citation-style-language/schema/raw/master/csl-citation.json"}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(Ramcharan et al., 2018)</w:t>
            </w:r>
            <w:r w:rsidRPr="00C1362F">
              <w:rPr>
                <w:rFonts w:eastAsia="Times New Roman"/>
                <w:color w:val="000000"/>
              </w:rPr>
              <w:fldChar w:fldCharType="end"/>
            </w:r>
            <w:bookmarkEnd w:id="2"/>
          </w:p>
        </w:tc>
      </w:tr>
      <w:tr w:rsidR="00F25462" w:rsidRPr="00C1362F" w14:paraId="55B4D8C8" w14:textId="77777777" w:rsidTr="000D368A">
        <w:trPr>
          <w:trHeight w:val="470"/>
        </w:trPr>
        <w:tc>
          <w:tcPr>
            <w:tcW w:w="410" w:type="pct"/>
            <w:vMerge/>
            <w:tcMar>
              <w:top w:w="0" w:type="dxa"/>
              <w:left w:w="108" w:type="dxa"/>
              <w:bottom w:w="0" w:type="dxa"/>
              <w:right w:w="108" w:type="dxa"/>
            </w:tcMar>
            <w:vAlign w:val="center"/>
          </w:tcPr>
          <w:p w14:paraId="4E04E8BD" w14:textId="77777777" w:rsidR="00F25462" w:rsidRPr="00C1362F" w:rsidRDefault="00F25462" w:rsidP="000D368A">
            <w:pPr>
              <w:rPr>
                <w:rFonts w:eastAsia="Times New Roman"/>
                <w:color w:val="000000"/>
              </w:rPr>
            </w:pPr>
          </w:p>
        </w:tc>
        <w:tc>
          <w:tcPr>
            <w:tcW w:w="688" w:type="pct"/>
            <w:tcBorders>
              <w:top w:val="single" w:sz="4" w:space="0" w:color="000000"/>
            </w:tcBorders>
            <w:tcMar>
              <w:top w:w="0" w:type="dxa"/>
              <w:left w:w="108" w:type="dxa"/>
              <w:bottom w:w="0" w:type="dxa"/>
              <w:right w:w="108" w:type="dxa"/>
            </w:tcMar>
            <w:vAlign w:val="center"/>
          </w:tcPr>
          <w:p w14:paraId="2D618BCE" w14:textId="77777777" w:rsidR="00F25462" w:rsidRPr="00C1362F" w:rsidRDefault="00F25462" w:rsidP="000D368A">
            <w:pPr>
              <w:jc w:val="center"/>
              <w:rPr>
                <w:rFonts w:eastAsia="Times New Roman"/>
                <w:color w:val="000000"/>
              </w:rPr>
            </w:pPr>
            <w:r w:rsidRPr="00C1362F">
              <w:rPr>
                <w:rFonts w:eastAsia="Times New Roman"/>
                <w:color w:val="000000"/>
              </w:rPr>
              <w:t>S</w:t>
            </w:r>
            <w:r>
              <w:rPr>
                <w:rFonts w:eastAsia="Times New Roman"/>
                <w:color w:val="000000"/>
              </w:rPr>
              <w:t>urface and root zone s</w:t>
            </w:r>
            <w:r w:rsidRPr="00C1362F">
              <w:rPr>
                <w:rFonts w:eastAsia="Times New Roman"/>
                <w:color w:val="000000"/>
              </w:rPr>
              <w:t>oil moisture</w:t>
            </w:r>
          </w:p>
        </w:tc>
        <w:tc>
          <w:tcPr>
            <w:tcW w:w="480" w:type="pct"/>
            <w:vMerge w:val="restart"/>
            <w:tcBorders>
              <w:top w:val="single" w:sz="4" w:space="0" w:color="000000"/>
            </w:tcBorders>
            <w:tcMar>
              <w:top w:w="0" w:type="dxa"/>
              <w:left w:w="108" w:type="dxa"/>
              <w:bottom w:w="0" w:type="dxa"/>
              <w:right w:w="108" w:type="dxa"/>
            </w:tcMar>
            <w:vAlign w:val="center"/>
          </w:tcPr>
          <w:p w14:paraId="123D1BF4" w14:textId="77777777" w:rsidR="00F25462" w:rsidRPr="00C1362F" w:rsidRDefault="00F25462" w:rsidP="000D368A">
            <w:pPr>
              <w:jc w:val="center"/>
              <w:rPr>
                <w:rFonts w:eastAsia="Times New Roman"/>
                <w:color w:val="000000"/>
              </w:rPr>
            </w:pPr>
            <w:r w:rsidRPr="00C1362F">
              <w:rPr>
                <w:rFonts w:eastAsia="Times New Roman"/>
                <w:color w:val="000000"/>
              </w:rPr>
              <w:t>0.125°</w:t>
            </w:r>
          </w:p>
        </w:tc>
        <w:tc>
          <w:tcPr>
            <w:tcW w:w="506" w:type="pct"/>
            <w:gridSpan w:val="2"/>
            <w:vMerge w:val="restart"/>
            <w:tcBorders>
              <w:top w:val="single" w:sz="4" w:space="0" w:color="000000"/>
            </w:tcBorders>
            <w:tcMar>
              <w:top w:w="0" w:type="dxa"/>
              <w:left w:w="108" w:type="dxa"/>
              <w:bottom w:w="0" w:type="dxa"/>
              <w:right w:w="108" w:type="dxa"/>
            </w:tcMar>
            <w:vAlign w:val="center"/>
          </w:tcPr>
          <w:p w14:paraId="4D66295F" w14:textId="77777777" w:rsidR="00F25462" w:rsidRPr="00C1362F" w:rsidRDefault="00F25462" w:rsidP="000D368A">
            <w:pPr>
              <w:jc w:val="center"/>
              <w:rPr>
                <w:rFonts w:eastAsia="Times New Roman"/>
                <w:color w:val="000000"/>
              </w:rPr>
            </w:pPr>
            <w:r w:rsidRPr="00C1362F">
              <w:rPr>
                <w:rFonts w:eastAsia="Times New Roman"/>
                <w:color w:val="000000"/>
              </w:rPr>
              <w:t>Hourly</w:t>
            </w:r>
          </w:p>
        </w:tc>
        <w:tc>
          <w:tcPr>
            <w:tcW w:w="568" w:type="pct"/>
            <w:vMerge w:val="restart"/>
            <w:tcBorders>
              <w:top w:val="single" w:sz="4" w:space="0" w:color="000000"/>
            </w:tcBorders>
            <w:vAlign w:val="center"/>
          </w:tcPr>
          <w:p w14:paraId="634DF129" w14:textId="77777777" w:rsidR="00F25462" w:rsidRPr="00C1362F" w:rsidRDefault="00F25462" w:rsidP="000D368A">
            <w:pPr>
              <w:jc w:val="center"/>
              <w:rPr>
                <w:rFonts w:eastAsia="Times New Roman"/>
                <w:color w:val="000000"/>
              </w:rPr>
            </w:pPr>
            <w:r w:rsidRPr="00C1362F">
              <w:rPr>
                <w:rFonts w:eastAsia="Times New Roman"/>
                <w:color w:val="000000"/>
              </w:rPr>
              <w:t>Since 1979</w:t>
            </w:r>
          </w:p>
        </w:tc>
        <w:tc>
          <w:tcPr>
            <w:tcW w:w="1445" w:type="pct"/>
            <w:tcBorders>
              <w:top w:val="single" w:sz="4" w:space="0" w:color="000000"/>
            </w:tcBorders>
            <w:vAlign w:val="center"/>
          </w:tcPr>
          <w:p w14:paraId="40298EF5" w14:textId="77777777" w:rsidR="00F25462" w:rsidRPr="00C1362F" w:rsidRDefault="00F25462" w:rsidP="000D368A">
            <w:pPr>
              <w:jc w:val="center"/>
              <w:rPr>
                <w:rFonts w:eastAsia="Times New Roman"/>
                <w:color w:val="000000"/>
              </w:rPr>
            </w:pPr>
            <w:r w:rsidRPr="00C1362F">
              <w:rPr>
                <w:rFonts w:eastAsia="Times New Roman"/>
                <w:color w:val="000000"/>
              </w:rPr>
              <w:t xml:space="preserve">GPP calibration, </w:t>
            </w:r>
            <w:r>
              <w:rPr>
                <w:rFonts w:eastAsia="Times New Roman"/>
                <w:color w:val="000000"/>
              </w:rPr>
              <w:t xml:space="preserve">model </w:t>
            </w:r>
            <w:r w:rsidRPr="00C1362F">
              <w:rPr>
                <w:rFonts w:eastAsia="Times New Roman"/>
                <w:color w:val="000000"/>
              </w:rPr>
              <w:t>spin-up, NEE calibration, SOC estimation, and site-based correlation analysis</w:t>
            </w:r>
          </w:p>
        </w:tc>
        <w:tc>
          <w:tcPr>
            <w:tcW w:w="903" w:type="pct"/>
            <w:vMerge w:val="restart"/>
            <w:tcBorders>
              <w:top w:val="single" w:sz="4" w:space="0" w:color="000000"/>
            </w:tcBorders>
            <w:tcMar>
              <w:top w:w="0" w:type="dxa"/>
              <w:left w:w="108" w:type="dxa"/>
              <w:bottom w:w="0" w:type="dxa"/>
              <w:right w:w="108" w:type="dxa"/>
            </w:tcMar>
            <w:vAlign w:val="center"/>
          </w:tcPr>
          <w:p w14:paraId="155E1769" w14:textId="77777777" w:rsidR="00F25462" w:rsidRPr="00C1362F" w:rsidRDefault="00F25462" w:rsidP="000D368A">
            <w:pPr>
              <w:jc w:val="center"/>
              <w:rPr>
                <w:rFonts w:eastAsia="Times New Roman"/>
                <w:color w:val="000000"/>
              </w:rPr>
            </w:pPr>
            <w:r w:rsidRPr="00C1362F">
              <w:rPr>
                <w:rFonts w:eastAsia="Times New Roman"/>
                <w:color w:val="000000"/>
              </w:rPr>
              <w:t xml:space="preserve">NLDAS </w:t>
            </w:r>
            <w:r w:rsidRPr="00C1362F">
              <w:rPr>
                <w:rFonts w:eastAsia="Times New Roman"/>
                <w:color w:val="000000"/>
              </w:rPr>
              <w:fldChar w:fldCharType="begin" w:fldLock="1"/>
            </w:r>
            <w:r w:rsidRPr="00C1362F">
              <w:rPr>
                <w:rFonts w:eastAsia="Times New Roman"/>
                <w:color w:val="000000"/>
              </w:rPr>
              <w:instrText>ADDIN CSL_CITATION {"citationItems":[{"id":"ITEM-1","itemData":{"URL":"https://disc.gsfc.nasa.gov/datasets/NLDAS_NOAH0125_H_002/summary","abstract":"Xia, Y., et al. (2012), NCEP/EMC (2014), Edited by David Mocko, NASA/GSFC/HSL, Greenbelt, Maryland, USA, Goddard Earth Sciences Data and Information Services Center (GES DISC)","accessed":{"date-parts":[["2022","11","7"]]},"author":[{"dropping-particle":"","family":"Xia","given":"Y.","non-dropping-particle":"","parse-names":false,"suffix":""},{"dropping-particle":"","family":"Mitchell","given":"K.","non-dropping-particle":"","parse-names":false,"suffix":""},{"dropping-particle":"","family":"Ek","given":"M.","non-dropping-particle":"","parse-names":false,"suffix":""},{"dropping-particle":"","family":"Sheffield","given":"J.","non-dropping-particle":"","parse-names":false,"suffix":""},{"dropping-particle":"","family":"Cosgrove","given":"B.","non-dropping-particle":"","parse-names":false,"suffix":""},{"dropping-particle":"","family":"Wood","given":"E.","non-dropping-particle":"","parse-names":false,"suffix":""},{"dropping-particle":"","family":"Luo","given":"L.","non-dropping-particle":"","parse-names":false,"suffix":""},{"dropping-particle":"","family":"Alonge","given":"C.","non-dropping-particle":"","parse-names":false,"suffix":""},{"dropping-particle":"","family":"Wei","given":"H.","non-dropping-particle":"","parse-names":false,"suffix":""},{"dropping-particle":"","family":"Meng","given":"J.","non-dropping-particle":"","parse-names":false,"suffix":""},{"dropping-particle":"","family":"Livneh","given":"B.","non-dropping-particle":"","parse-names":false,"suffix":""},{"dropping-particle":"","family":"Lettenmaier","given":"D.","non-dropping-particle":"","parse-names":false,"suffix":""},{"dropping-particle":"","family":"Koren","given":"V.","non-dropping-particle":"","parse-names":false,"suffix":""},{"dropping-particle":"","family":"Duan","given":"Q.","non-dropping-particle":"","parse-names":false,"suffix":""},{"dropping-particle":"","family":"Mo","given":"K.","non-dropping-particle":"","parse-names":false,"suffix":""},{"dropping-particle":"","family":"Fan","given":"Y.","non-dropping-particle":"","parse-names":false,"suffix":""},{"dropping-particle":"","family":"Mocko","given":"D.","non-dropping-particle":"","parse-names":false,"suffix":""}],"container-title":"Goddard Earth Sciences Data and Information Services Center (GES DISC)","id":"ITEM-1","issued":{"date-parts":[["2012"]]},"title":"NLDAS Noah Land Surface Model L4 Hourly 0.125 x 0.125 degree V002","type":"webpage"},"uris":["http://www.mendeley.com/documents/?uuid=3cd1c44a-806e-4c63-9cc8-2a8bf1a7e498"]}],"mendeley":{"formattedCitation":"(Y. Xia et al., 2012)","manualFormatting":"(Xia et al., 2012)","plainTextFormattedCitation":"(Y. Xia et al., 2012)","previouslyFormattedCitation":"(Y. Xia et al., 2012)"},"properties":{"noteIndex":0},"schema":"https://github.com/citation-style-language/schema/raw/master/csl-citation.json"}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(Xia et al., 2012)</w:t>
            </w:r>
            <w:r w:rsidRPr="00C1362F">
              <w:rPr>
                <w:rFonts w:eastAsia="Times New Roman"/>
                <w:color w:val="000000"/>
              </w:rPr>
              <w:fldChar w:fldCharType="end"/>
            </w:r>
          </w:p>
        </w:tc>
      </w:tr>
      <w:tr w:rsidR="00F25462" w:rsidRPr="00C1362F" w14:paraId="0E910237" w14:textId="77777777" w:rsidTr="000D368A">
        <w:trPr>
          <w:trHeight w:val="470"/>
        </w:trPr>
        <w:tc>
          <w:tcPr>
            <w:tcW w:w="410" w:type="pct"/>
            <w:vMerge/>
            <w:tcMar>
              <w:top w:w="0" w:type="dxa"/>
              <w:left w:w="108" w:type="dxa"/>
              <w:bottom w:w="0" w:type="dxa"/>
              <w:right w:w="108" w:type="dxa"/>
            </w:tcMar>
            <w:vAlign w:val="center"/>
          </w:tcPr>
          <w:p w14:paraId="15ED4EFE" w14:textId="77777777" w:rsidR="00F25462" w:rsidRPr="00C1362F" w:rsidRDefault="00F25462" w:rsidP="000D368A">
            <w:pPr>
              <w:rPr>
                <w:rFonts w:eastAsia="Times New Roman"/>
                <w:color w:val="000000"/>
              </w:rPr>
            </w:pPr>
          </w:p>
        </w:tc>
        <w:tc>
          <w:tcPr>
            <w:tcW w:w="688" w:type="pct"/>
            <w:tcBorders>
              <w:top w:val="single" w:sz="4" w:space="0" w:color="000000"/>
            </w:tcBorders>
            <w:tcMar>
              <w:top w:w="0" w:type="dxa"/>
              <w:left w:w="108" w:type="dxa"/>
              <w:bottom w:w="0" w:type="dxa"/>
              <w:right w:w="108" w:type="dxa"/>
            </w:tcMar>
            <w:vAlign w:val="center"/>
          </w:tcPr>
          <w:p w14:paraId="4BFC340C" w14:textId="77777777" w:rsidR="00F25462" w:rsidRPr="00C1362F" w:rsidRDefault="00F25462" w:rsidP="000D368A">
            <w:pPr>
              <w:jc w:val="center"/>
              <w:rPr>
                <w:rFonts w:eastAsia="Times New Roman"/>
                <w:color w:val="000000"/>
              </w:rPr>
            </w:pPr>
            <w:r w:rsidRPr="00C1362F">
              <w:rPr>
                <w:rFonts w:eastAsia="Times New Roman"/>
                <w:color w:val="000000"/>
              </w:rPr>
              <w:t>S</w:t>
            </w:r>
            <w:r>
              <w:rPr>
                <w:rFonts w:eastAsia="Times New Roman"/>
                <w:color w:val="000000"/>
              </w:rPr>
              <w:t>urface s</w:t>
            </w:r>
            <w:r w:rsidRPr="00C1362F">
              <w:rPr>
                <w:rFonts w:eastAsia="Times New Roman"/>
                <w:color w:val="000000"/>
              </w:rPr>
              <w:t>oil temperature</w:t>
            </w:r>
          </w:p>
        </w:tc>
        <w:tc>
          <w:tcPr>
            <w:tcW w:w="480" w:type="pct"/>
            <w:vMerge/>
            <w:tcBorders>
              <w:bottom w:val="single" w:sz="4" w:space="0" w:color="000000"/>
            </w:tcBorders>
            <w:tcMar>
              <w:top w:w="0" w:type="dxa"/>
              <w:left w:w="108" w:type="dxa"/>
              <w:bottom w:w="0" w:type="dxa"/>
              <w:right w:w="108" w:type="dxa"/>
            </w:tcMar>
            <w:vAlign w:val="center"/>
          </w:tcPr>
          <w:p w14:paraId="25659F08" w14:textId="77777777" w:rsidR="00F25462" w:rsidRPr="00C1362F" w:rsidRDefault="00F25462" w:rsidP="000D368A">
            <w:pPr>
              <w:jc w:val="center"/>
              <w:rPr>
                <w:rFonts w:eastAsia="Times New Roman"/>
                <w:color w:val="000000"/>
              </w:rPr>
            </w:pPr>
          </w:p>
        </w:tc>
        <w:tc>
          <w:tcPr>
            <w:tcW w:w="506" w:type="pct"/>
            <w:gridSpan w:val="2"/>
            <w:vMerge/>
            <w:tcBorders>
              <w:bottom w:val="single" w:sz="4" w:space="0" w:color="000000"/>
            </w:tcBorders>
            <w:tcMar>
              <w:top w:w="0" w:type="dxa"/>
              <w:left w:w="108" w:type="dxa"/>
              <w:bottom w:w="0" w:type="dxa"/>
              <w:right w:w="108" w:type="dxa"/>
            </w:tcMar>
            <w:vAlign w:val="center"/>
          </w:tcPr>
          <w:p w14:paraId="4692B43F" w14:textId="77777777" w:rsidR="00F25462" w:rsidRPr="00C1362F" w:rsidRDefault="00F25462" w:rsidP="000D368A">
            <w:pPr>
              <w:jc w:val="center"/>
              <w:rPr>
                <w:rFonts w:eastAsia="Times New Roman"/>
                <w:color w:val="000000"/>
              </w:rPr>
            </w:pPr>
          </w:p>
        </w:tc>
        <w:tc>
          <w:tcPr>
            <w:tcW w:w="568" w:type="pct"/>
            <w:vMerge/>
            <w:tcBorders>
              <w:bottom w:val="single" w:sz="4" w:space="0" w:color="000000"/>
            </w:tcBorders>
            <w:vAlign w:val="center"/>
          </w:tcPr>
          <w:p w14:paraId="0519B386" w14:textId="77777777" w:rsidR="00F25462" w:rsidRPr="00C1362F" w:rsidRDefault="00F25462" w:rsidP="000D368A">
            <w:pPr>
              <w:jc w:val="center"/>
              <w:rPr>
                <w:rFonts w:eastAsia="Times New Roman"/>
                <w:color w:val="000000"/>
              </w:rPr>
            </w:pPr>
          </w:p>
        </w:tc>
        <w:tc>
          <w:tcPr>
            <w:tcW w:w="1445" w:type="pct"/>
            <w:tcBorders>
              <w:top w:val="single" w:sz="4" w:space="0" w:color="000000"/>
            </w:tcBorders>
            <w:vAlign w:val="center"/>
          </w:tcPr>
          <w:p w14:paraId="4608DEF7" w14:textId="77777777" w:rsidR="00F25462" w:rsidRPr="00C1362F" w:rsidRDefault="00F25462" w:rsidP="000D368A">
            <w:pPr>
              <w:jc w:val="center"/>
              <w:rPr>
                <w:rFonts w:eastAsia="Times New Roman"/>
                <w:color w:val="000000"/>
              </w:rPr>
            </w:pPr>
            <w:r w:rsidRPr="00C1362F">
              <w:rPr>
                <w:rFonts w:eastAsia="Times New Roman"/>
                <w:color w:val="000000"/>
              </w:rPr>
              <w:t xml:space="preserve">GPP calibration, </w:t>
            </w:r>
            <w:r>
              <w:rPr>
                <w:rFonts w:eastAsia="Times New Roman"/>
                <w:color w:val="000000"/>
              </w:rPr>
              <w:t xml:space="preserve">model </w:t>
            </w:r>
            <w:r w:rsidRPr="00C1362F">
              <w:rPr>
                <w:rFonts w:eastAsia="Times New Roman"/>
                <w:color w:val="000000"/>
              </w:rPr>
              <w:t>spin-up, NEE calibration, SOC estimation, and site-based correlation analysis</w:t>
            </w:r>
          </w:p>
        </w:tc>
        <w:tc>
          <w:tcPr>
            <w:tcW w:w="903" w:type="pct"/>
            <w:vMerge/>
            <w:tcBorders>
              <w:bottom w:val="single" w:sz="4" w:space="0" w:color="000000"/>
            </w:tcBorders>
            <w:tcMar>
              <w:top w:w="0" w:type="dxa"/>
              <w:left w:w="108" w:type="dxa"/>
              <w:bottom w:w="0" w:type="dxa"/>
              <w:right w:w="108" w:type="dxa"/>
            </w:tcMar>
            <w:vAlign w:val="center"/>
          </w:tcPr>
          <w:p w14:paraId="5D5E87EA" w14:textId="77777777" w:rsidR="00F25462" w:rsidRPr="00C1362F" w:rsidRDefault="00F25462" w:rsidP="000D368A">
            <w:pPr>
              <w:jc w:val="center"/>
              <w:rPr>
                <w:rFonts w:eastAsia="Times New Roman"/>
                <w:color w:val="000000"/>
              </w:rPr>
            </w:pPr>
          </w:p>
        </w:tc>
      </w:tr>
      <w:tr w:rsidR="00F25462" w:rsidRPr="00C1362F" w14:paraId="6AC21C59" w14:textId="77777777" w:rsidTr="000D368A">
        <w:trPr>
          <w:trHeight w:val="500"/>
        </w:trPr>
        <w:tc>
          <w:tcPr>
            <w:tcW w:w="410" w:type="pct"/>
            <w:vMerge w:val="restart"/>
            <w:tcBorders>
              <w:top w:val="single" w:sz="4" w:space="0" w:color="000000"/>
            </w:tcBorders>
            <w:tcMar>
              <w:top w:w="0" w:type="dxa"/>
              <w:left w:w="108" w:type="dxa"/>
              <w:bottom w:w="0" w:type="dxa"/>
              <w:right w:w="108" w:type="dxa"/>
            </w:tcMar>
            <w:vAlign w:val="center"/>
            <w:hideMark/>
          </w:tcPr>
          <w:p w14:paraId="6C0EA22A" w14:textId="77777777" w:rsidR="00F25462" w:rsidRPr="00C1362F" w:rsidRDefault="00F25462" w:rsidP="000D368A">
            <w:pPr>
              <w:rPr>
                <w:rFonts w:eastAsia="Times New Roman"/>
              </w:rPr>
            </w:pPr>
            <w:r w:rsidRPr="00C1362F">
              <w:rPr>
                <w:rFonts w:eastAsia="Times New Roman"/>
                <w:color w:val="000000"/>
              </w:rPr>
              <w:t>Climate</w:t>
            </w:r>
          </w:p>
        </w:tc>
        <w:tc>
          <w:tcPr>
            <w:tcW w:w="688" w:type="pct"/>
            <w:tcBorders>
              <w:top w:val="single" w:sz="4" w:space="0" w:color="000000"/>
            </w:tcBorders>
            <w:tcMar>
              <w:top w:w="0" w:type="dxa"/>
              <w:left w:w="108" w:type="dxa"/>
              <w:bottom w:w="0" w:type="dxa"/>
              <w:right w:w="108" w:type="dxa"/>
            </w:tcMar>
            <w:vAlign w:val="center"/>
            <w:hideMark/>
          </w:tcPr>
          <w:p w14:paraId="08700937" w14:textId="77777777" w:rsidR="00F25462" w:rsidRPr="00C1362F" w:rsidRDefault="00F25462" w:rsidP="000D368A">
            <w:pPr>
              <w:jc w:val="center"/>
              <w:rPr>
                <w:rFonts w:eastAsia="Times New Roman"/>
              </w:rPr>
            </w:pPr>
            <w:r w:rsidRPr="00C1362F">
              <w:rPr>
                <w:rFonts w:eastAsia="Times New Roman"/>
                <w:color w:val="000000"/>
              </w:rPr>
              <w:t>VPD</w:t>
            </w:r>
          </w:p>
        </w:tc>
        <w:tc>
          <w:tcPr>
            <w:tcW w:w="480" w:type="pct"/>
            <w:tcBorders>
              <w:top w:val="single" w:sz="4" w:space="0" w:color="000000"/>
              <w:bottom w:val="single" w:sz="4" w:space="0" w:color="auto"/>
            </w:tcBorders>
            <w:tcMar>
              <w:top w:w="0" w:type="dxa"/>
              <w:left w:w="108" w:type="dxa"/>
              <w:bottom w:w="0" w:type="dxa"/>
              <w:right w:w="108" w:type="dxa"/>
            </w:tcMar>
            <w:vAlign w:val="center"/>
            <w:hideMark/>
          </w:tcPr>
          <w:p w14:paraId="4D1E4272" w14:textId="77777777" w:rsidR="00F25462" w:rsidRPr="00C1362F" w:rsidRDefault="00F25462" w:rsidP="000D368A">
            <w:pPr>
              <w:jc w:val="center"/>
              <w:rPr>
                <w:rFonts w:eastAsia="Times New Roman"/>
              </w:rPr>
            </w:pPr>
            <w:r w:rsidRPr="00C1362F">
              <w:rPr>
                <w:rFonts w:eastAsia="Times New Roman"/>
                <w:color w:val="000000"/>
              </w:rPr>
              <w:t>1 km</w:t>
            </w:r>
          </w:p>
        </w:tc>
        <w:tc>
          <w:tcPr>
            <w:tcW w:w="481" w:type="pct"/>
            <w:tcBorders>
              <w:top w:val="single" w:sz="4" w:space="0" w:color="000000"/>
              <w:bottom w:val="single" w:sz="4" w:space="0" w:color="auto"/>
            </w:tcBorders>
            <w:tcMar>
              <w:top w:w="0" w:type="dxa"/>
              <w:left w:w="108" w:type="dxa"/>
              <w:bottom w:w="0" w:type="dxa"/>
              <w:right w:w="108" w:type="dxa"/>
            </w:tcMar>
            <w:vAlign w:val="center"/>
            <w:hideMark/>
          </w:tcPr>
          <w:p w14:paraId="1CE7E37C" w14:textId="77777777" w:rsidR="00F25462" w:rsidRPr="00C1362F" w:rsidRDefault="00F25462" w:rsidP="000D368A">
            <w:pPr>
              <w:jc w:val="center"/>
              <w:rPr>
                <w:rFonts w:eastAsia="Times New Roman"/>
              </w:rPr>
            </w:pPr>
            <w:r w:rsidRPr="00C1362F">
              <w:rPr>
                <w:rFonts w:eastAsia="Times New Roman"/>
                <w:color w:val="000000"/>
              </w:rPr>
              <w:t>Daily</w:t>
            </w:r>
          </w:p>
        </w:tc>
        <w:tc>
          <w:tcPr>
            <w:tcW w:w="593" w:type="pct"/>
            <w:gridSpan w:val="2"/>
            <w:tcBorders>
              <w:top w:val="single" w:sz="4" w:space="0" w:color="000000"/>
              <w:bottom w:val="single" w:sz="4" w:space="0" w:color="auto"/>
            </w:tcBorders>
            <w:tcMar>
              <w:top w:w="0" w:type="dxa"/>
              <w:left w:w="108" w:type="dxa"/>
              <w:bottom w:w="0" w:type="dxa"/>
              <w:right w:w="108" w:type="dxa"/>
            </w:tcMar>
            <w:vAlign w:val="center"/>
            <w:hideMark/>
          </w:tcPr>
          <w:p w14:paraId="070EDE3F" w14:textId="77777777" w:rsidR="00F25462" w:rsidRPr="00C1362F" w:rsidRDefault="00F25462" w:rsidP="000D368A">
            <w:pPr>
              <w:jc w:val="center"/>
              <w:rPr>
                <w:rFonts w:eastAsia="Times New Roman"/>
              </w:rPr>
            </w:pPr>
            <w:r w:rsidRPr="00C1362F">
              <w:rPr>
                <w:rFonts w:eastAsia="Times New Roman"/>
                <w:color w:val="000000"/>
              </w:rPr>
              <w:t>Since 1980</w:t>
            </w:r>
          </w:p>
        </w:tc>
        <w:tc>
          <w:tcPr>
            <w:tcW w:w="1445" w:type="pct"/>
            <w:tcBorders>
              <w:top w:val="single" w:sz="4" w:space="0" w:color="000000"/>
            </w:tcBorders>
            <w:vAlign w:val="center"/>
          </w:tcPr>
          <w:p w14:paraId="6070D454" w14:textId="77777777" w:rsidR="00F25462" w:rsidRPr="00C1362F" w:rsidRDefault="00F25462" w:rsidP="000D368A">
            <w:pPr>
              <w:jc w:val="center"/>
              <w:rPr>
                <w:rFonts w:eastAsia="Times New Roman"/>
                <w:color w:val="000000"/>
              </w:rPr>
            </w:pPr>
            <w:r w:rsidRPr="00C1362F">
              <w:rPr>
                <w:rFonts w:eastAsia="Times New Roman"/>
                <w:color w:val="000000"/>
              </w:rPr>
              <w:t>GPP calibration and site-based correlation analysis</w:t>
            </w:r>
          </w:p>
        </w:tc>
        <w:tc>
          <w:tcPr>
            <w:tcW w:w="903" w:type="pct"/>
            <w:vMerge w:val="restart"/>
            <w:tcBorders>
              <w:top w:val="single" w:sz="4" w:space="0" w:color="000000"/>
            </w:tcBorders>
            <w:tcMar>
              <w:top w:w="0" w:type="dxa"/>
              <w:left w:w="108" w:type="dxa"/>
              <w:bottom w:w="0" w:type="dxa"/>
              <w:right w:w="108" w:type="dxa"/>
            </w:tcMar>
            <w:vAlign w:val="center"/>
            <w:hideMark/>
          </w:tcPr>
          <w:p w14:paraId="638E7241" w14:textId="77777777" w:rsidR="00F25462" w:rsidRPr="00C1362F" w:rsidRDefault="00F25462" w:rsidP="000D368A">
            <w:pPr>
              <w:jc w:val="center"/>
              <w:rPr>
                <w:rFonts w:eastAsia="Times New Roman"/>
              </w:rPr>
            </w:pPr>
            <w:r w:rsidRPr="00C1362F">
              <w:rPr>
                <w:rFonts w:eastAsia="Times New Roman"/>
                <w:color w:val="000000"/>
              </w:rPr>
              <w:t xml:space="preserve">DAYMET v4 </w:t>
            </w:r>
            <w:r w:rsidRPr="00C1362F">
              <w:rPr>
                <w:rFonts w:eastAsia="Times New Roman"/>
                <w:color w:val="000000"/>
              </w:rPr>
              <w:fldChar w:fldCharType="begin" w:fldLock="1"/>
            </w:r>
            <w:r w:rsidRPr="00C1362F">
              <w:rPr>
                <w:rFonts w:eastAsia="Times New Roman"/>
                <w:color w:val="000000"/>
              </w:rPr>
              <w:instrText>ADDIN CSL_CITATION {"citationItems":[{"id":"ITEM-1","itemData":{"DOI":"10.3334/ORNLDAAC/2131","abstract":"This data set provides Daymet Version 3 monthly summary climatologies at a 1-km x 1-km spatial resolution for four Daymet variables; minimum and maximum temperature, precipitation, and vapor pressure. Monthly averages are provided for minimum and maximum temperature and vapor pressure, and monthly totals are provided for the precipitation variable. These single month summary data products are produced for each individual month within a calendar year and cover the same period of record as the Daymet V3 daily data. The monthly climatology summaries are derived from the much larger data set of daily weather parameters (Thornton et al., 2016), produced on a 1-km x 1-km grid over North America including Canada, the United States, and Mexico. Separate monthly summary files are provided for the land areas of Hawaii and Puerto Rico, which are also available as gridded daily files as part of the Daymet V3 data set. Data are in a Lambert Conformal Conic projection for North America and are distributed in a netCDF file (version 1.6) format compliant to Climate and Forecast (CF) metadata conventions and geotiff file formats.","author":[{"dropping-particle":"","family":"Thornton","given":"M.M.","non-dropping-particle":"","parse-names":false,"suffix":""},{"dropping-particle":"","family":"Thornton","given":"P.E.","non-dropping-particle":"","parse-names":false,"suffix":""},{"dropping-particle":"","family":"Wei","given":"Y.","non-dropping-particle":"","parse-names":false,"suffix":""},{"dropping-particle":"","family":"Mayer","given":"B.W.","non-dropping-particle":"","parse-names":false,"suffix":""},{"dropping-particle":"","family":"Cook","given":"R.B.","non-dropping-particle":"","parse-names":false,"suffix":""},{"dropping-particle":"","family":"Vose","given":"R.S.","non-dropping-particle":"","parse-names":false,"suffix":""}],"container-title":"Oak Ridge National Laboratory","id":"ITEM-1","issued":{"date-parts":[["2022"]]},"publisher-place":"Oak Ridge, Tennessee, USA","title":"Daymet: Monthly climate summaries on a 1-km grid for North America, version 4 R1","type":"report"},"uris":["http://www.mendeley.com/documents/?uuid=e184f6c8-c9de-4be9-8b8e-bd4b177bf6f8"]}],"mendeley":{"formattedCitation":"(Thornton et al., 2022)","plainTextFormattedCitation":"(Thornton et al., 2022)","previouslyFormattedCitation":"(Thornton et al., 2022)"},"properties":{"noteIndex":0},"schema":"https://github.com/citation-style-language/schema/raw/master/csl-citation.json"}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(Thornton et al., 2022)</w:t>
            </w:r>
            <w:r w:rsidRPr="00C1362F">
              <w:rPr>
                <w:rFonts w:eastAsia="Times New Roman"/>
                <w:color w:val="000000"/>
              </w:rPr>
              <w:fldChar w:fldCharType="end"/>
            </w:r>
          </w:p>
        </w:tc>
      </w:tr>
      <w:tr w:rsidR="00F25462" w:rsidRPr="00C1362F" w14:paraId="692839B0" w14:textId="77777777" w:rsidTr="000D368A">
        <w:trPr>
          <w:trHeight w:val="500"/>
        </w:trPr>
        <w:tc>
          <w:tcPr>
            <w:tcW w:w="410" w:type="pct"/>
            <w:vMerge/>
            <w:tcBorders>
              <w:top w:val="single" w:sz="4" w:space="0" w:color="000000"/>
            </w:tcBorders>
            <w:tcMar>
              <w:top w:w="0" w:type="dxa"/>
              <w:left w:w="108" w:type="dxa"/>
              <w:bottom w:w="0" w:type="dxa"/>
              <w:right w:w="108" w:type="dxa"/>
            </w:tcMar>
            <w:vAlign w:val="center"/>
          </w:tcPr>
          <w:p w14:paraId="33C68263" w14:textId="77777777" w:rsidR="00F25462" w:rsidRPr="00C1362F" w:rsidRDefault="00F25462" w:rsidP="000D368A">
            <w:pPr>
              <w:rPr>
                <w:rFonts w:eastAsia="Times New Roman"/>
                <w:color w:val="000000"/>
              </w:rPr>
            </w:pPr>
          </w:p>
        </w:tc>
        <w:tc>
          <w:tcPr>
            <w:tcW w:w="688" w:type="pct"/>
            <w:tcBorders>
              <w:top w:val="single" w:sz="4" w:space="0" w:color="000000"/>
            </w:tcBorders>
            <w:tcMar>
              <w:top w:w="0" w:type="dxa"/>
              <w:left w:w="108" w:type="dxa"/>
              <w:bottom w:w="0" w:type="dxa"/>
              <w:right w:w="108" w:type="dxa"/>
            </w:tcMar>
            <w:vAlign w:val="center"/>
          </w:tcPr>
          <w:p w14:paraId="6184D3B3" w14:textId="77777777" w:rsidR="00F25462" w:rsidRPr="00C1362F" w:rsidRDefault="00F25462" w:rsidP="000D368A">
            <w:pPr>
              <w:jc w:val="center"/>
              <w:rPr>
                <w:rFonts w:eastAsia="Times New Roman"/>
                <w:color w:val="000000"/>
              </w:rPr>
            </w:pPr>
            <w:r w:rsidRPr="00C1362F">
              <w:rPr>
                <w:rFonts w:eastAsia="Times New Roman"/>
                <w:color w:val="000000"/>
              </w:rPr>
              <w:t>Air temperature</w:t>
            </w:r>
          </w:p>
        </w:tc>
        <w:tc>
          <w:tcPr>
            <w:tcW w:w="480" w:type="pct"/>
            <w:vMerge w:val="restart"/>
            <w:tcBorders>
              <w:top w:val="single" w:sz="4" w:space="0" w:color="000000"/>
            </w:tcBorders>
            <w:tcMar>
              <w:top w:w="0" w:type="dxa"/>
              <w:left w:w="108" w:type="dxa"/>
              <w:bottom w:w="0" w:type="dxa"/>
              <w:right w:w="108" w:type="dxa"/>
            </w:tcMar>
            <w:vAlign w:val="center"/>
          </w:tcPr>
          <w:p w14:paraId="3FBA5BA9" w14:textId="77777777" w:rsidR="00F25462" w:rsidRPr="00C1362F" w:rsidRDefault="00F25462" w:rsidP="000D368A">
            <w:pPr>
              <w:jc w:val="center"/>
              <w:rPr>
                <w:rFonts w:eastAsia="Times New Roman"/>
                <w:color w:val="000000"/>
              </w:rPr>
            </w:pPr>
            <w:r w:rsidRPr="00C1362F">
              <w:rPr>
                <w:rFonts w:eastAsia="Times New Roman"/>
                <w:color w:val="000000"/>
              </w:rPr>
              <w:t>1km</w:t>
            </w:r>
          </w:p>
        </w:tc>
        <w:tc>
          <w:tcPr>
            <w:tcW w:w="481" w:type="pct"/>
            <w:vMerge w:val="restart"/>
            <w:tcBorders>
              <w:top w:val="single" w:sz="4" w:space="0" w:color="000000"/>
            </w:tcBorders>
            <w:tcMar>
              <w:top w:w="0" w:type="dxa"/>
              <w:left w:w="108" w:type="dxa"/>
              <w:bottom w:w="0" w:type="dxa"/>
              <w:right w:w="108" w:type="dxa"/>
            </w:tcMar>
            <w:vAlign w:val="center"/>
          </w:tcPr>
          <w:p w14:paraId="6B5B2FDE" w14:textId="77777777" w:rsidR="00F25462" w:rsidRPr="00C1362F" w:rsidRDefault="00F25462" w:rsidP="000D368A">
            <w:pPr>
              <w:jc w:val="center"/>
              <w:rPr>
                <w:rFonts w:eastAsia="Times New Roman"/>
                <w:color w:val="000000"/>
              </w:rPr>
            </w:pPr>
            <w:r w:rsidRPr="00C1362F">
              <w:rPr>
                <w:rFonts w:eastAsia="Times New Roman"/>
                <w:color w:val="000000"/>
              </w:rPr>
              <w:t>Daily</w:t>
            </w:r>
          </w:p>
        </w:tc>
        <w:tc>
          <w:tcPr>
            <w:tcW w:w="593" w:type="pct"/>
            <w:gridSpan w:val="2"/>
            <w:vMerge w:val="restart"/>
            <w:tcBorders>
              <w:top w:val="single" w:sz="4" w:space="0" w:color="000000"/>
            </w:tcBorders>
            <w:tcMar>
              <w:top w:w="0" w:type="dxa"/>
              <w:left w:w="108" w:type="dxa"/>
              <w:bottom w:w="0" w:type="dxa"/>
              <w:right w:w="108" w:type="dxa"/>
            </w:tcMar>
            <w:vAlign w:val="center"/>
          </w:tcPr>
          <w:p w14:paraId="244850CF" w14:textId="77777777" w:rsidR="00F25462" w:rsidRPr="00C1362F" w:rsidRDefault="00F25462" w:rsidP="000D368A">
            <w:pPr>
              <w:jc w:val="center"/>
              <w:rPr>
                <w:rFonts w:eastAsia="Times New Roman"/>
                <w:color w:val="000000"/>
              </w:rPr>
            </w:pPr>
            <w:r w:rsidRPr="00C1362F">
              <w:rPr>
                <w:rFonts w:eastAsia="Times New Roman"/>
                <w:color w:val="000000"/>
              </w:rPr>
              <w:t>Since 1980</w:t>
            </w:r>
          </w:p>
        </w:tc>
        <w:tc>
          <w:tcPr>
            <w:tcW w:w="1445" w:type="pct"/>
            <w:vMerge w:val="restart"/>
            <w:tcBorders>
              <w:top w:val="single" w:sz="4" w:space="0" w:color="000000"/>
            </w:tcBorders>
            <w:vAlign w:val="center"/>
          </w:tcPr>
          <w:p w14:paraId="0550E41A" w14:textId="77777777" w:rsidR="00F25462" w:rsidRPr="00C1362F" w:rsidRDefault="00F25462" w:rsidP="000D368A">
            <w:pPr>
              <w:jc w:val="center"/>
              <w:rPr>
                <w:rFonts w:eastAsia="Times New Roman"/>
                <w:color w:val="000000"/>
              </w:rPr>
            </w:pPr>
            <w:r w:rsidRPr="00C1362F">
              <w:rPr>
                <w:rFonts w:eastAsia="Times New Roman"/>
                <w:color w:val="000000"/>
              </w:rPr>
              <w:t>Site-based correlation analysis</w:t>
            </w:r>
          </w:p>
        </w:tc>
        <w:tc>
          <w:tcPr>
            <w:tcW w:w="903" w:type="pct"/>
            <w:vMerge/>
            <w:tcMar>
              <w:top w:w="0" w:type="dxa"/>
              <w:left w:w="108" w:type="dxa"/>
              <w:bottom w:w="0" w:type="dxa"/>
              <w:right w:w="108" w:type="dxa"/>
            </w:tcMar>
            <w:vAlign w:val="center"/>
          </w:tcPr>
          <w:p w14:paraId="0B4B7731" w14:textId="77777777" w:rsidR="00F25462" w:rsidRPr="00C1362F" w:rsidRDefault="00F25462" w:rsidP="000D368A">
            <w:pPr>
              <w:jc w:val="center"/>
              <w:rPr>
                <w:rFonts w:eastAsia="Times New Roman"/>
                <w:color w:val="000000"/>
              </w:rPr>
            </w:pPr>
          </w:p>
        </w:tc>
      </w:tr>
      <w:tr w:rsidR="00F25462" w:rsidRPr="00C1362F" w14:paraId="19AF6152" w14:textId="77777777" w:rsidTr="000D368A">
        <w:trPr>
          <w:trHeight w:val="500"/>
        </w:trPr>
        <w:tc>
          <w:tcPr>
            <w:tcW w:w="410" w:type="pct"/>
            <w:vMerge/>
            <w:tcBorders>
              <w:top w:val="single" w:sz="4" w:space="0" w:color="000000"/>
            </w:tcBorders>
            <w:tcMar>
              <w:top w:w="0" w:type="dxa"/>
              <w:left w:w="108" w:type="dxa"/>
              <w:bottom w:w="0" w:type="dxa"/>
              <w:right w:w="108" w:type="dxa"/>
            </w:tcMar>
            <w:vAlign w:val="center"/>
          </w:tcPr>
          <w:p w14:paraId="4739F931" w14:textId="77777777" w:rsidR="00F25462" w:rsidRPr="00C1362F" w:rsidRDefault="00F25462" w:rsidP="000D368A">
            <w:pPr>
              <w:rPr>
                <w:rFonts w:eastAsia="Times New Roman"/>
                <w:color w:val="000000"/>
              </w:rPr>
            </w:pPr>
          </w:p>
        </w:tc>
        <w:tc>
          <w:tcPr>
            <w:tcW w:w="688" w:type="pct"/>
            <w:tcBorders>
              <w:top w:val="single" w:sz="4" w:space="0" w:color="000000"/>
            </w:tcBorders>
            <w:tcMar>
              <w:top w:w="0" w:type="dxa"/>
              <w:left w:w="108" w:type="dxa"/>
              <w:bottom w:w="0" w:type="dxa"/>
              <w:right w:w="108" w:type="dxa"/>
            </w:tcMar>
            <w:vAlign w:val="center"/>
          </w:tcPr>
          <w:p w14:paraId="1619A7FE" w14:textId="77777777" w:rsidR="00F25462" w:rsidRPr="00C1362F" w:rsidRDefault="00F25462" w:rsidP="000D368A">
            <w:pPr>
              <w:jc w:val="center"/>
              <w:rPr>
                <w:rFonts w:eastAsia="Times New Roman"/>
                <w:color w:val="000000"/>
              </w:rPr>
            </w:pPr>
            <w:r>
              <w:rPr>
                <w:rFonts w:eastAsia="Times New Roman"/>
                <w:color w:val="000000"/>
              </w:rPr>
              <w:t>P</w:t>
            </w:r>
            <w:r w:rsidRPr="00C1362F">
              <w:rPr>
                <w:rFonts w:eastAsia="Times New Roman"/>
                <w:color w:val="000000"/>
              </w:rPr>
              <w:t>recipitation</w:t>
            </w:r>
          </w:p>
        </w:tc>
        <w:tc>
          <w:tcPr>
            <w:tcW w:w="480" w:type="pct"/>
            <w:vMerge/>
            <w:tcBorders>
              <w:bottom w:val="single" w:sz="4" w:space="0" w:color="auto"/>
            </w:tcBorders>
            <w:tcMar>
              <w:top w:w="0" w:type="dxa"/>
              <w:left w:w="108" w:type="dxa"/>
              <w:bottom w:w="0" w:type="dxa"/>
              <w:right w:w="108" w:type="dxa"/>
            </w:tcMar>
            <w:vAlign w:val="center"/>
          </w:tcPr>
          <w:p w14:paraId="714E70EB" w14:textId="77777777" w:rsidR="00F25462" w:rsidRPr="00C1362F" w:rsidRDefault="00F25462" w:rsidP="000D368A">
            <w:pPr>
              <w:jc w:val="center"/>
              <w:rPr>
                <w:rFonts w:eastAsia="Times New Roman"/>
                <w:color w:val="000000"/>
              </w:rPr>
            </w:pPr>
          </w:p>
        </w:tc>
        <w:tc>
          <w:tcPr>
            <w:tcW w:w="481" w:type="pct"/>
            <w:vMerge/>
            <w:tcBorders>
              <w:bottom w:val="single" w:sz="4" w:space="0" w:color="auto"/>
            </w:tcBorders>
            <w:tcMar>
              <w:top w:w="0" w:type="dxa"/>
              <w:left w:w="108" w:type="dxa"/>
              <w:bottom w:w="0" w:type="dxa"/>
              <w:right w:w="108" w:type="dxa"/>
            </w:tcMar>
            <w:vAlign w:val="center"/>
          </w:tcPr>
          <w:p w14:paraId="694EE9AB" w14:textId="77777777" w:rsidR="00F25462" w:rsidRPr="00C1362F" w:rsidRDefault="00F25462" w:rsidP="000D368A">
            <w:pPr>
              <w:jc w:val="center"/>
              <w:rPr>
                <w:rFonts w:eastAsia="Times New Roman"/>
                <w:color w:val="000000"/>
              </w:rPr>
            </w:pPr>
          </w:p>
        </w:tc>
        <w:tc>
          <w:tcPr>
            <w:tcW w:w="593" w:type="pct"/>
            <w:gridSpan w:val="2"/>
            <w:vMerge/>
            <w:tcBorders>
              <w:bottom w:val="single" w:sz="4" w:space="0" w:color="auto"/>
            </w:tcBorders>
            <w:tcMar>
              <w:top w:w="0" w:type="dxa"/>
              <w:left w:w="108" w:type="dxa"/>
              <w:bottom w:w="0" w:type="dxa"/>
              <w:right w:w="108" w:type="dxa"/>
            </w:tcMar>
            <w:vAlign w:val="center"/>
          </w:tcPr>
          <w:p w14:paraId="13674088" w14:textId="77777777" w:rsidR="00F25462" w:rsidRPr="00C1362F" w:rsidRDefault="00F25462" w:rsidP="000D368A">
            <w:pPr>
              <w:jc w:val="center"/>
              <w:rPr>
                <w:rFonts w:eastAsia="Times New Roman"/>
                <w:color w:val="000000"/>
              </w:rPr>
            </w:pPr>
          </w:p>
        </w:tc>
        <w:tc>
          <w:tcPr>
            <w:tcW w:w="1445" w:type="pct"/>
            <w:vMerge/>
            <w:vAlign w:val="center"/>
          </w:tcPr>
          <w:p w14:paraId="7B235B19" w14:textId="77777777" w:rsidR="00F25462" w:rsidRPr="00C1362F" w:rsidRDefault="00F25462" w:rsidP="000D368A">
            <w:pPr>
              <w:jc w:val="center"/>
              <w:rPr>
                <w:rFonts w:eastAsia="Times New Roman"/>
                <w:color w:val="000000"/>
              </w:rPr>
            </w:pPr>
          </w:p>
        </w:tc>
        <w:tc>
          <w:tcPr>
            <w:tcW w:w="903" w:type="pct"/>
            <w:vMerge/>
            <w:tcBorders>
              <w:bottom w:val="single" w:sz="4" w:space="0" w:color="auto"/>
            </w:tcBorders>
            <w:tcMar>
              <w:top w:w="0" w:type="dxa"/>
              <w:left w:w="108" w:type="dxa"/>
              <w:bottom w:w="0" w:type="dxa"/>
              <w:right w:w="108" w:type="dxa"/>
            </w:tcMar>
            <w:vAlign w:val="center"/>
          </w:tcPr>
          <w:p w14:paraId="166AC90B" w14:textId="77777777" w:rsidR="00F25462" w:rsidRPr="00C1362F" w:rsidRDefault="00F25462" w:rsidP="000D368A">
            <w:pPr>
              <w:jc w:val="center"/>
              <w:rPr>
                <w:rFonts w:eastAsia="Times New Roman"/>
                <w:color w:val="000000"/>
              </w:rPr>
            </w:pPr>
          </w:p>
        </w:tc>
      </w:tr>
      <w:tr w:rsidR="00F25462" w:rsidRPr="00C1362F" w14:paraId="724CA5D1" w14:textId="77777777" w:rsidTr="000D368A">
        <w:tc>
          <w:tcPr>
            <w:tcW w:w="410" w:type="pct"/>
            <w:vMerge/>
            <w:tcBorders>
              <w:bottom w:val="single" w:sz="4" w:space="0" w:color="000000"/>
            </w:tcBorders>
            <w:tcMar>
              <w:top w:w="0" w:type="dxa"/>
              <w:left w:w="108" w:type="dxa"/>
              <w:bottom w:w="0" w:type="dxa"/>
              <w:right w:w="108" w:type="dxa"/>
            </w:tcMar>
            <w:vAlign w:val="center"/>
          </w:tcPr>
          <w:p w14:paraId="783554B6" w14:textId="77777777" w:rsidR="00F25462" w:rsidRPr="00C1362F" w:rsidRDefault="00F25462" w:rsidP="000D368A">
            <w:pPr>
              <w:rPr>
                <w:rFonts w:eastAsia="Times New Roman"/>
                <w:color w:val="000000"/>
              </w:rPr>
            </w:pPr>
          </w:p>
        </w:tc>
        <w:tc>
          <w:tcPr>
            <w:tcW w:w="688" w:type="pct"/>
            <w:tcBorders>
              <w:top w:val="single" w:sz="4" w:space="0" w:color="000000"/>
              <w:bottom w:val="single" w:sz="4" w:space="0" w:color="000000"/>
            </w:tcBorders>
            <w:tcMar>
              <w:top w:w="0" w:type="dxa"/>
              <w:left w:w="108" w:type="dxa"/>
              <w:bottom w:w="0" w:type="dxa"/>
              <w:right w:w="108" w:type="dxa"/>
            </w:tcMar>
            <w:vAlign w:val="center"/>
          </w:tcPr>
          <w:p w14:paraId="30FFC6B9" w14:textId="77777777" w:rsidR="00F25462" w:rsidRPr="00C1362F" w:rsidRDefault="00F25462" w:rsidP="000D368A">
            <w:pPr>
              <w:jc w:val="center"/>
              <w:rPr>
                <w:rFonts w:eastAsia="Times New Roman"/>
                <w:color w:val="000000"/>
              </w:rPr>
            </w:pPr>
            <w:r w:rsidRPr="00C1362F">
              <w:rPr>
                <w:rFonts w:eastAsia="Times New Roman"/>
                <w:color w:val="000000"/>
              </w:rPr>
              <w:t>Solar Radiation</w:t>
            </w:r>
          </w:p>
        </w:tc>
        <w:tc>
          <w:tcPr>
            <w:tcW w:w="480" w:type="pct"/>
            <w:tcBorders>
              <w:top w:val="single" w:sz="4" w:space="0" w:color="auto"/>
              <w:bottom w:val="single" w:sz="4" w:space="0" w:color="000000"/>
            </w:tcBorders>
            <w:tcMar>
              <w:top w:w="0" w:type="dxa"/>
              <w:left w:w="108" w:type="dxa"/>
              <w:bottom w:w="0" w:type="dxa"/>
              <w:right w:w="108" w:type="dxa"/>
            </w:tcMar>
            <w:vAlign w:val="center"/>
          </w:tcPr>
          <w:p w14:paraId="5F7783BE" w14:textId="77777777" w:rsidR="00F25462" w:rsidRPr="00C1362F" w:rsidRDefault="00F25462" w:rsidP="000D368A">
            <w:pPr>
              <w:jc w:val="center"/>
              <w:rPr>
                <w:rFonts w:eastAsia="Times New Roman"/>
                <w:color w:val="000000"/>
              </w:rPr>
            </w:pPr>
            <w:r w:rsidRPr="00C1362F">
              <w:rPr>
                <w:rFonts w:eastAsia="Times New Roman"/>
                <w:color w:val="000000"/>
              </w:rPr>
              <w:t>0.125°</w:t>
            </w:r>
          </w:p>
        </w:tc>
        <w:tc>
          <w:tcPr>
            <w:tcW w:w="481" w:type="pct"/>
            <w:tcBorders>
              <w:top w:val="single" w:sz="4" w:space="0" w:color="auto"/>
              <w:bottom w:val="single" w:sz="4" w:space="0" w:color="000000"/>
            </w:tcBorders>
            <w:tcMar>
              <w:top w:w="0" w:type="dxa"/>
              <w:left w:w="108" w:type="dxa"/>
              <w:bottom w:w="0" w:type="dxa"/>
              <w:right w:w="108" w:type="dxa"/>
            </w:tcMar>
            <w:vAlign w:val="center"/>
          </w:tcPr>
          <w:p w14:paraId="0705F661" w14:textId="77777777" w:rsidR="00F25462" w:rsidRPr="00C1362F" w:rsidRDefault="00F25462" w:rsidP="000D368A">
            <w:pPr>
              <w:jc w:val="center"/>
              <w:rPr>
                <w:rFonts w:eastAsia="Times New Roman"/>
                <w:color w:val="000000"/>
              </w:rPr>
            </w:pPr>
            <w:r w:rsidRPr="00C1362F">
              <w:rPr>
                <w:rFonts w:eastAsia="Times New Roman"/>
                <w:color w:val="000000"/>
              </w:rPr>
              <w:t>Hourly</w:t>
            </w:r>
          </w:p>
        </w:tc>
        <w:tc>
          <w:tcPr>
            <w:tcW w:w="593" w:type="pct"/>
            <w:gridSpan w:val="2"/>
            <w:tcBorders>
              <w:top w:val="single" w:sz="4" w:space="0" w:color="auto"/>
              <w:bottom w:val="single" w:sz="4" w:space="0" w:color="000000"/>
            </w:tcBorders>
            <w:tcMar>
              <w:top w:w="0" w:type="dxa"/>
              <w:left w:w="108" w:type="dxa"/>
              <w:bottom w:w="0" w:type="dxa"/>
              <w:right w:w="108" w:type="dxa"/>
            </w:tcMar>
            <w:vAlign w:val="center"/>
          </w:tcPr>
          <w:p w14:paraId="0AC99F5D" w14:textId="77777777" w:rsidR="00F25462" w:rsidRPr="00C1362F" w:rsidRDefault="00F25462" w:rsidP="000D368A">
            <w:pPr>
              <w:jc w:val="center"/>
              <w:rPr>
                <w:rFonts w:eastAsia="Times New Roman"/>
                <w:color w:val="000000"/>
              </w:rPr>
            </w:pPr>
            <w:r w:rsidRPr="00C1362F">
              <w:rPr>
                <w:rFonts w:eastAsia="Times New Roman"/>
                <w:color w:val="000000"/>
              </w:rPr>
              <w:t>Since 1979</w:t>
            </w:r>
          </w:p>
        </w:tc>
        <w:tc>
          <w:tcPr>
            <w:tcW w:w="1445" w:type="pct"/>
            <w:tcBorders>
              <w:top w:val="single" w:sz="4" w:space="0" w:color="000000"/>
              <w:bottom w:val="single" w:sz="4" w:space="0" w:color="000000"/>
            </w:tcBorders>
            <w:vAlign w:val="center"/>
          </w:tcPr>
          <w:p w14:paraId="73F36822" w14:textId="77777777" w:rsidR="00F25462" w:rsidRPr="00C1362F" w:rsidRDefault="00F25462" w:rsidP="000D368A">
            <w:pPr>
              <w:jc w:val="center"/>
              <w:rPr>
                <w:rFonts w:eastAsia="Times New Roman"/>
                <w:color w:val="000000"/>
              </w:rPr>
            </w:pPr>
            <w:r w:rsidRPr="00C1362F">
              <w:rPr>
                <w:rFonts w:eastAsia="Times New Roman"/>
                <w:color w:val="000000"/>
              </w:rPr>
              <w:t>GPP calibration</w:t>
            </w:r>
          </w:p>
        </w:tc>
        <w:tc>
          <w:tcPr>
            <w:tcW w:w="903" w:type="pct"/>
            <w:tcBorders>
              <w:top w:val="single" w:sz="4" w:space="0" w:color="auto"/>
              <w:bottom w:val="single" w:sz="4" w:space="0" w:color="000000"/>
            </w:tcBorders>
            <w:tcMar>
              <w:top w:w="0" w:type="dxa"/>
              <w:left w:w="108" w:type="dxa"/>
              <w:bottom w:w="0" w:type="dxa"/>
              <w:right w:w="108" w:type="dxa"/>
            </w:tcMar>
            <w:vAlign w:val="center"/>
          </w:tcPr>
          <w:p w14:paraId="5BEEC6C7" w14:textId="77777777" w:rsidR="00F25462" w:rsidRPr="00C1362F" w:rsidRDefault="00F25462" w:rsidP="000D368A">
            <w:pPr>
              <w:jc w:val="center"/>
              <w:rPr>
                <w:rFonts w:eastAsia="Times New Roman"/>
                <w:color w:val="000000"/>
              </w:rPr>
            </w:pPr>
            <w:r w:rsidRPr="00C1362F">
              <w:rPr>
                <w:rFonts w:eastAsia="Times New Roman"/>
                <w:color w:val="000000"/>
              </w:rPr>
              <w:t xml:space="preserve">NLDAS </w:t>
            </w:r>
            <w:r w:rsidRPr="00C1362F">
              <w:rPr>
                <w:rFonts w:eastAsia="Times New Roman"/>
                <w:color w:val="000000"/>
              </w:rPr>
              <w:fldChar w:fldCharType="begin" w:fldLock="1"/>
            </w:r>
            <w:r w:rsidRPr="00C1362F">
              <w:rPr>
                <w:rFonts w:eastAsia="Times New Roman"/>
                <w:color w:val="000000"/>
              </w:rPr>
              <w:instrText>ADDIN CSL_CITATION {"citationItems":[{"id":"ITEM-1","itemData":{"DOI":"10.1175/JAMC-D-14-0275.1","ISSN":"15588432","abstract":"AbstractThe North American Soil Moisture Database (NASMD) was initiated in 2011 to provide support for developing climate forecasting tools, calibrating land surface models, and validating satellite-derived soil moisture algorithms. The NASMD has collected data from over 30 soil moisture observation networks providing millions of in situ soil moisture observations in all 50 states, as well as Canada and Mexico. It is recognized that the quality of measured soil moisture in NASMD is highly variable because of the diversity of climatological conditions, land cover, soil texture, and topographies of the stations, and differences in measurement devices (e.g., sensors) and installation. It is also recognized that error, inaccuracy, and imprecision in the data can have significant impacts on practical operations and scientific studies. Therefore, developing an appropriate quality control procedure is essential to ensure that the data are of the best quality. In this study, an automated quality control approach ...","author":[{"dropping-particle":"","family":"Xia","given":"Youlong","non-dropping-particle":"","parse-names":false,"suffix":""},{"dropping-particle":"","family":"Ford","given":"Trent W.","non-dropping-particle":"","parse-names":false,"suffix":""},{"dropping-particle":"","family":"Wu","given":"Yihua","non-dropping-particle":"","parse-names":false,"suffix":""},{"dropping-particle":"","family":"Quiring","given":"Steven M.","non-dropping-particle":"","parse-names":false,"suffix":""},{"dropping-particle":"","family":"Ek","given":"Michael B.","non-dropping-particle":"","parse-names":false,"suffix":""}],"container-title":"Journal of Applied Meteorology and Climatology","id":"ITEM-1","issue":"6","issued":{"date-parts":[["2015"]]},"page":"1267-1282","title":"Automated quality control of in situ soil moisture from the North American Soil Moisture Database using NLDAS-2 products","type":"article-journal","volume":"54"},"uris":["http://www.mendeley.com/documents/?uuid=e3161436-fe87-4976-baf5-4acf8911e1b0"]}],"mendeley":{"formattedCitation":"(Youlong Xia et al., 2015)","manualFormatting":"(Xia et al., 2015)","plainTextFormattedCitation":"(Youlong Xia et al., 2015)","previouslyFormattedCitation":"(Youlong Xia et al., 2015)"},"properties":{"noteIndex":0},"schema":"https://github.com/citation-style-language/schema/raw/master/csl-citation.json"}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(Xia et al., 2015)</w:t>
            </w:r>
            <w:r w:rsidRPr="00C1362F">
              <w:rPr>
                <w:rFonts w:eastAsia="Times New Roman"/>
                <w:color w:val="000000"/>
              </w:rPr>
              <w:fldChar w:fldCharType="end"/>
            </w:r>
          </w:p>
        </w:tc>
      </w:tr>
      <w:tr w:rsidR="00F25462" w:rsidRPr="00C1362F" w14:paraId="71A05B45" w14:textId="77777777" w:rsidTr="000D368A">
        <w:trPr>
          <w:trHeight w:val="861"/>
        </w:trPr>
        <w:tc>
          <w:tcPr>
            <w:tcW w:w="410" w:type="pct"/>
            <w:vMerge w:val="restart"/>
            <w:tcBorders>
              <w:top w:val="single" w:sz="4" w:space="0" w:color="000000"/>
              <w:bottom w:val="single" w:sz="4" w:space="0" w:color="000000"/>
            </w:tcBorders>
            <w:tcMar>
              <w:top w:w="0" w:type="dxa"/>
              <w:left w:w="108" w:type="dxa"/>
              <w:bottom w:w="0" w:type="dxa"/>
              <w:right w:w="108" w:type="dxa"/>
            </w:tcMar>
            <w:vAlign w:val="center"/>
            <w:hideMark/>
          </w:tcPr>
          <w:p w14:paraId="018247DA" w14:textId="77777777" w:rsidR="00F25462" w:rsidRPr="00C1362F" w:rsidRDefault="00F25462" w:rsidP="000D368A">
            <w:pPr>
              <w:rPr>
                <w:rFonts w:eastAsia="Times New Roman"/>
              </w:rPr>
            </w:pPr>
            <w:r w:rsidRPr="00C1362F">
              <w:rPr>
                <w:rFonts w:eastAsia="Times New Roman"/>
                <w:color w:val="000000"/>
              </w:rPr>
              <w:t>Biotic</w:t>
            </w:r>
          </w:p>
        </w:tc>
        <w:tc>
          <w:tcPr>
            <w:tcW w:w="688" w:type="pct"/>
            <w:vMerge w:val="restart"/>
            <w:tcBorders>
              <w:top w:val="single" w:sz="4" w:space="0" w:color="000000"/>
            </w:tcBorders>
            <w:tcMar>
              <w:top w:w="0" w:type="dxa"/>
              <w:left w:w="108" w:type="dxa"/>
              <w:bottom w:w="0" w:type="dxa"/>
              <w:right w:w="108" w:type="dxa"/>
            </w:tcMar>
            <w:vAlign w:val="center"/>
          </w:tcPr>
          <w:p w14:paraId="7E0B32A9" w14:textId="77777777" w:rsidR="00F25462" w:rsidRPr="00C1362F" w:rsidRDefault="00F25462" w:rsidP="000D368A">
            <w:pPr>
              <w:jc w:val="center"/>
              <w:rPr>
                <w:rFonts w:eastAsia="Times New Roman"/>
              </w:rPr>
            </w:pPr>
            <w:r w:rsidRPr="00C1362F">
              <w:rPr>
                <w:rFonts w:eastAsia="Times New Roman"/>
                <w:color w:val="000000"/>
              </w:rPr>
              <w:t>fPAR</w:t>
            </w:r>
          </w:p>
        </w:tc>
        <w:tc>
          <w:tcPr>
            <w:tcW w:w="480" w:type="pct"/>
            <w:tcBorders>
              <w:top w:val="single" w:sz="4" w:space="0" w:color="000000"/>
            </w:tcBorders>
            <w:tcMar>
              <w:top w:w="0" w:type="dxa"/>
              <w:left w:w="108" w:type="dxa"/>
              <w:bottom w:w="0" w:type="dxa"/>
              <w:right w:w="108" w:type="dxa"/>
            </w:tcMar>
            <w:vAlign w:val="center"/>
          </w:tcPr>
          <w:p w14:paraId="0EA36DA4" w14:textId="77777777" w:rsidR="00F25462" w:rsidRPr="00C1362F" w:rsidRDefault="00F25462" w:rsidP="000D368A">
            <w:pPr>
              <w:jc w:val="center"/>
              <w:rPr>
                <w:rFonts w:eastAsia="Times New Roman"/>
              </w:rPr>
            </w:pPr>
            <w:r w:rsidRPr="00C1362F">
              <w:rPr>
                <w:rFonts w:eastAsia="Times New Roman"/>
                <w:color w:val="000000"/>
              </w:rPr>
              <w:t>500 m</w:t>
            </w:r>
          </w:p>
        </w:tc>
        <w:tc>
          <w:tcPr>
            <w:tcW w:w="481" w:type="pct"/>
            <w:tcBorders>
              <w:top w:val="single" w:sz="4" w:space="0" w:color="000000"/>
            </w:tcBorders>
            <w:tcMar>
              <w:top w:w="0" w:type="dxa"/>
              <w:left w:w="108" w:type="dxa"/>
              <w:bottom w:w="0" w:type="dxa"/>
              <w:right w:w="108" w:type="dxa"/>
            </w:tcMar>
            <w:vAlign w:val="center"/>
          </w:tcPr>
          <w:p w14:paraId="2EB1EF57" w14:textId="77777777" w:rsidR="00F25462" w:rsidRPr="00C1362F" w:rsidRDefault="00F25462" w:rsidP="000D368A">
            <w:pPr>
              <w:jc w:val="center"/>
              <w:rPr>
                <w:rFonts w:eastAsia="Times New Roman"/>
              </w:rPr>
            </w:pPr>
            <w:r w:rsidRPr="00C1362F">
              <w:rPr>
                <w:color w:val="000000"/>
              </w:rPr>
              <w:t>Every 4 days</w:t>
            </w:r>
          </w:p>
        </w:tc>
        <w:tc>
          <w:tcPr>
            <w:tcW w:w="593" w:type="pct"/>
            <w:gridSpan w:val="2"/>
            <w:tcBorders>
              <w:top w:val="single" w:sz="4" w:space="0" w:color="000000"/>
            </w:tcBorders>
            <w:tcMar>
              <w:top w:w="0" w:type="dxa"/>
              <w:left w:w="108" w:type="dxa"/>
              <w:bottom w:w="0" w:type="dxa"/>
              <w:right w:w="108" w:type="dxa"/>
            </w:tcMar>
            <w:vAlign w:val="center"/>
          </w:tcPr>
          <w:p w14:paraId="7B37B05F" w14:textId="77777777" w:rsidR="00F25462" w:rsidRPr="00C1362F" w:rsidRDefault="00F25462" w:rsidP="000D368A">
            <w:pPr>
              <w:jc w:val="center"/>
              <w:rPr>
                <w:rFonts w:eastAsia="Times New Roman"/>
              </w:rPr>
            </w:pPr>
            <w:r w:rsidRPr="00C1362F">
              <w:rPr>
                <w:rFonts w:eastAsia="Times New Roman"/>
                <w:color w:val="000000"/>
              </w:rPr>
              <w:t>Since 2002</w:t>
            </w:r>
          </w:p>
        </w:tc>
        <w:tc>
          <w:tcPr>
            <w:tcW w:w="1445" w:type="pct"/>
            <w:tcBorders>
              <w:top w:val="single" w:sz="4" w:space="0" w:color="000000"/>
            </w:tcBorders>
            <w:vAlign w:val="center"/>
          </w:tcPr>
          <w:p w14:paraId="22762F90" w14:textId="77777777" w:rsidR="00F25462" w:rsidRPr="00C1362F" w:rsidRDefault="00F25462" w:rsidP="000D368A">
            <w:pPr>
              <w:jc w:val="center"/>
              <w:rPr>
                <w:rFonts w:eastAsia="Times New Roman"/>
                <w:color w:val="000000"/>
              </w:rPr>
            </w:pPr>
            <w:r w:rsidRPr="00C1362F">
              <w:rPr>
                <w:rFonts w:eastAsia="Times New Roman"/>
                <w:color w:val="000000"/>
              </w:rPr>
              <w:t>GPP calibration (coarse resolution) in SI: Appendix C</w:t>
            </w:r>
          </w:p>
        </w:tc>
        <w:tc>
          <w:tcPr>
            <w:tcW w:w="903" w:type="pct"/>
            <w:tcBorders>
              <w:top w:val="single" w:sz="4" w:space="0" w:color="000000"/>
              <w:bottom w:val="single" w:sz="4" w:space="0" w:color="000000"/>
            </w:tcBorders>
            <w:tcMar>
              <w:top w:w="0" w:type="dxa"/>
              <w:left w:w="108" w:type="dxa"/>
              <w:bottom w:w="0" w:type="dxa"/>
              <w:right w:w="108" w:type="dxa"/>
            </w:tcMar>
            <w:vAlign w:val="center"/>
            <w:hideMark/>
          </w:tcPr>
          <w:p w14:paraId="2B0B7551" w14:textId="77777777" w:rsidR="00F25462" w:rsidRPr="00C1362F" w:rsidRDefault="00F25462" w:rsidP="000D368A">
            <w:pPr>
              <w:jc w:val="center"/>
              <w:rPr>
                <w:rFonts w:eastAsia="Times New Roman"/>
                <w:color w:val="000000"/>
              </w:rPr>
            </w:pPr>
            <w:r w:rsidRPr="00C1362F">
              <w:rPr>
                <w:rFonts w:eastAsia="Times New Roman"/>
                <w:color w:val="000000"/>
              </w:rPr>
              <w:t xml:space="preserve">MODIS </w:t>
            </w:r>
            <w:r w:rsidRPr="00C1362F">
              <w:rPr>
                <w:rFonts w:eastAsia="Times New Roman"/>
                <w:color w:val="000000"/>
              </w:rPr>
              <w:fldChar w:fldCharType="begin" w:fldLock="1"/>
            </w:r>
            <w:r w:rsidRPr="00C1362F">
              <w:rPr>
                <w:rFonts w:eastAsia="Times New Roman"/>
                <w:color w:val="000000"/>
              </w:rPr>
              <w:instrText>ADDIN CSL_CITATION {"citationItems":[{"id":"ITEM-1","itemData":{"DOI":"10.5067/MODIS/MCD43A4.061","abstract":"The MODIS MCD43A4 Version 6 Nadir Bidirectional reflectance distribution function Adjusted Reflectance (NBAR) data set is a daily 16-day product. The Julian date in the granule ID of each specific file represents the 9th day of the 16 day retrieval period, and consequently the observations are weighted to estimate the Albedo for that day. The MCD43A4 algorithm, as is with all combined products, has the luxury of choosing the best representative pixel from a pool that includes all the acquisitions from both the Terra and Aqua sensors from the retrieval period. The MCD43A4 provides the 500 meter reflectance data of the MODIS “land” bands 1-7 adjusted using the bidirectional reflectance distribution function to model the values as if they were collected from a nadir view. The MODIS BRDF/Albedo products have achieved stage 3 validation.","author":[{"dropping-particle":"","family":"Schaaf","given":"C","non-dropping-particle":"","parse-names":false,"suffix":""},{"dropping-particle":"","family":"Wang","given":"Z","non-dropping-particle":"","parse-names":false,"suffix":""}],"container-title":"NASA EOSDIS Land Processes DAAC","id":"ITEM-1","issued":{"date-parts":[["2015"]]},"title":"MODIS/Terra and Aqua Nadir BRDF-Adjusted Reflectance Daily L3 Global 500 m SIN Grid V006","type":"webpage"},"uris":["http://www.mendeley.com/documents/?uuid=f3fe3afb-8703-461c-b591-ee3e16530d00"]}],"mendeley":{"formattedCitation":"(Schaaf &amp; Wang, 2015)","plainTextFormattedCitation":"(Schaaf &amp; Wang, 2015)","previouslyFormattedCitation":"(Schaaf &amp; Wang, 2015)"},"properties":{"noteIndex":0},"schema":"https://github.com/citation-style-language/schema/raw/master/csl-citation.json"}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(Schaaf &amp; Wang, 2015)</w:t>
            </w:r>
            <w:r w:rsidRPr="00C1362F">
              <w:rPr>
                <w:rFonts w:eastAsia="Times New Roman"/>
                <w:color w:val="000000"/>
              </w:rPr>
              <w:fldChar w:fldCharType="end"/>
            </w:r>
          </w:p>
        </w:tc>
      </w:tr>
      <w:tr w:rsidR="00F25462" w:rsidRPr="00C1362F" w14:paraId="79C7F9B3" w14:textId="77777777" w:rsidTr="000D368A">
        <w:trPr>
          <w:trHeight w:val="690"/>
        </w:trPr>
        <w:tc>
          <w:tcPr>
            <w:tcW w:w="410" w:type="pct"/>
            <w:vMerge/>
            <w:tcBorders>
              <w:top w:val="single" w:sz="4" w:space="0" w:color="000000"/>
              <w:bottom w:val="single" w:sz="4" w:space="0" w:color="000000"/>
            </w:tcBorders>
            <w:vAlign w:val="center"/>
          </w:tcPr>
          <w:p w14:paraId="2FDA64C5" w14:textId="77777777" w:rsidR="00F25462" w:rsidRPr="00C1362F" w:rsidRDefault="00F25462" w:rsidP="000D368A">
            <w:pPr>
              <w:rPr>
                <w:rFonts w:eastAsia="Times New Roman"/>
              </w:rPr>
            </w:pPr>
          </w:p>
        </w:tc>
        <w:tc>
          <w:tcPr>
            <w:tcW w:w="688" w:type="pct"/>
            <w:vMerge/>
            <w:tcMar>
              <w:top w:w="0" w:type="dxa"/>
              <w:left w:w="108" w:type="dxa"/>
              <w:bottom w:w="0" w:type="dxa"/>
              <w:right w:w="108" w:type="dxa"/>
            </w:tcMar>
            <w:vAlign w:val="center"/>
          </w:tcPr>
          <w:p w14:paraId="6858B966" w14:textId="77777777" w:rsidR="00F25462" w:rsidRPr="00C1362F" w:rsidRDefault="00F25462" w:rsidP="000D368A">
            <w:pPr>
              <w:jc w:val="center"/>
              <w:rPr>
                <w:rFonts w:eastAsia="Times New Roman"/>
                <w:color w:val="000000"/>
              </w:rPr>
            </w:pPr>
          </w:p>
        </w:tc>
        <w:tc>
          <w:tcPr>
            <w:tcW w:w="480" w:type="pct"/>
            <w:tcBorders>
              <w:top w:val="single" w:sz="4" w:space="0" w:color="000000"/>
            </w:tcBorders>
            <w:tcMar>
              <w:top w:w="0" w:type="dxa"/>
              <w:left w:w="108" w:type="dxa"/>
              <w:bottom w:w="0" w:type="dxa"/>
              <w:right w:w="108" w:type="dxa"/>
            </w:tcMar>
            <w:vAlign w:val="center"/>
          </w:tcPr>
          <w:p w14:paraId="2ECD641C" w14:textId="77777777" w:rsidR="00F25462" w:rsidRPr="00C1362F" w:rsidRDefault="00F25462" w:rsidP="000D368A">
            <w:pPr>
              <w:jc w:val="center"/>
              <w:rPr>
                <w:rFonts w:eastAsia="Times New Roman"/>
                <w:color w:val="000000"/>
              </w:rPr>
            </w:pPr>
            <w:r w:rsidRPr="00C1362F">
              <w:rPr>
                <w:rFonts w:eastAsia="Times New Roman"/>
                <w:color w:val="000000"/>
              </w:rPr>
              <w:t>30 m</w:t>
            </w:r>
          </w:p>
        </w:tc>
        <w:tc>
          <w:tcPr>
            <w:tcW w:w="481" w:type="pct"/>
            <w:tcBorders>
              <w:top w:val="single" w:sz="4" w:space="0" w:color="000000"/>
            </w:tcBorders>
            <w:tcMar>
              <w:top w:w="0" w:type="dxa"/>
              <w:left w:w="108" w:type="dxa"/>
              <w:bottom w:w="0" w:type="dxa"/>
              <w:right w:w="108" w:type="dxa"/>
            </w:tcMar>
            <w:vAlign w:val="center"/>
          </w:tcPr>
          <w:p w14:paraId="188648C9" w14:textId="77777777" w:rsidR="00F25462" w:rsidRPr="00C1362F" w:rsidRDefault="00F25462" w:rsidP="000D368A">
            <w:pPr>
              <w:jc w:val="center"/>
              <w:rPr>
                <w:rFonts w:eastAsia="Times New Roman"/>
                <w:color w:val="000000"/>
              </w:rPr>
            </w:pPr>
            <w:r w:rsidRPr="00C1362F">
              <w:rPr>
                <w:rFonts w:eastAsia="Times New Roman"/>
                <w:color w:val="000000"/>
              </w:rPr>
              <w:t>Every 5 days</w:t>
            </w:r>
          </w:p>
        </w:tc>
        <w:tc>
          <w:tcPr>
            <w:tcW w:w="593" w:type="pct"/>
            <w:gridSpan w:val="2"/>
            <w:tcBorders>
              <w:top w:val="single" w:sz="4" w:space="0" w:color="000000"/>
            </w:tcBorders>
            <w:tcMar>
              <w:top w:w="0" w:type="dxa"/>
              <w:left w:w="108" w:type="dxa"/>
              <w:bottom w:w="0" w:type="dxa"/>
              <w:right w:w="108" w:type="dxa"/>
            </w:tcMar>
            <w:vAlign w:val="center"/>
          </w:tcPr>
          <w:p w14:paraId="72A30CDA" w14:textId="77777777" w:rsidR="00F25462" w:rsidRPr="00C1362F" w:rsidRDefault="00F25462" w:rsidP="000D368A">
            <w:pPr>
              <w:jc w:val="center"/>
              <w:rPr>
                <w:rFonts w:eastAsia="Times New Roman"/>
              </w:rPr>
            </w:pPr>
            <w:r w:rsidRPr="00C1362F">
              <w:rPr>
                <w:rFonts w:eastAsia="Times New Roman"/>
              </w:rPr>
              <w:t>Since 2002</w:t>
            </w:r>
          </w:p>
        </w:tc>
        <w:tc>
          <w:tcPr>
            <w:tcW w:w="1445" w:type="pct"/>
            <w:tcBorders>
              <w:top w:val="single" w:sz="4" w:space="0" w:color="000000"/>
            </w:tcBorders>
            <w:vAlign w:val="center"/>
          </w:tcPr>
          <w:p w14:paraId="7430EC1F" w14:textId="77777777" w:rsidR="00F25462" w:rsidRPr="00C1362F" w:rsidRDefault="00F25462" w:rsidP="000D368A">
            <w:pPr>
              <w:jc w:val="center"/>
              <w:rPr>
                <w:rFonts w:eastAsia="Times New Roman"/>
              </w:rPr>
            </w:pPr>
            <w:r w:rsidRPr="00C1362F">
              <w:rPr>
                <w:rFonts w:eastAsia="Times New Roman"/>
                <w:color w:val="000000"/>
              </w:rPr>
              <w:t>GPP calibration (fine resolution) and site-based correlation analysis</w:t>
            </w:r>
          </w:p>
        </w:tc>
        <w:tc>
          <w:tcPr>
            <w:tcW w:w="903" w:type="pct"/>
            <w:tcBorders>
              <w:top w:val="single" w:sz="4" w:space="0" w:color="000000"/>
            </w:tcBorders>
            <w:vAlign w:val="center"/>
          </w:tcPr>
          <w:p w14:paraId="13DF54E1" w14:textId="77777777" w:rsidR="00F25462" w:rsidRPr="00C1362F" w:rsidRDefault="00F25462" w:rsidP="000D368A">
            <w:pPr>
              <w:jc w:val="center"/>
              <w:rPr>
                <w:rFonts w:eastAsia="Times New Roman"/>
              </w:rPr>
            </w:pPr>
            <w:r w:rsidRPr="00C1362F">
              <w:rPr>
                <w:rFonts w:eastAsia="Times New Roman"/>
                <w:color w:val="000000"/>
              </w:rPr>
              <w:t xml:space="preserve">STARFM </w:t>
            </w:r>
            <w:r w:rsidRPr="00C1362F">
              <w:rPr>
                <w:rFonts w:eastAsia="Times New Roman"/>
                <w:color w:val="000000"/>
              </w:rPr>
              <w:fldChar w:fldCharType="begin" w:fldLock="1"/>
            </w:r>
            <w:r>
              <w:rPr>
                <w:rFonts w:eastAsia="Times New Roman"/>
                <w:color w:val="000000"/>
              </w:rPr>
              <w:instrText>ADDIN CSL_CITATION {"citationItems":[{"id":"ITEM-1","itemData":{"DOI":"10.1109/TGRS.2006.872081","ISSN":"01962892","abstract":"The 16-day revisit cycle of Landsat has long limited its use for studying global biophysical processes, which evolve rapidly during the growing season. In cloudy areas of the Earth, the problem is compounded, and researchers are fortunate to get two to three clear images per year. At the same time, the coarse resolution of sensors such as the Advanced Very High Resolution Radiometer and Moderate Resolution Imaging Spectroradiometer (MODIS) limits the sensors' ability to quantify biophysical processes in heterogeneous landscapes. In this paper, the authors present a new spatial and temporal adaptive reflectance fusion model (STARFM) algorithm to blend Landsat and MODIS surface reflectance. Using this approach, high-frequency temporal information from MODIS and high-resolution spatial information from Landsat can be blended for applications that require high resolution in both time and space. The MODIS daily 500-m surface reflectance and the 16-day repeat cycle Landsat Enhanced Thematic Mapper Plus (ETM+) 30-m surface reflectance are used to produce a synthetic \"daily\" surface reflectance product at ETM+ spatial resolution. The authors present results both with simulated (model) data and actual Landsat/MODIS acquisitions. In general, the STARFM accurately predicts surface reflectance at an effective resolution close to that of the ETM+. However, the performance depends on the characteristic patch size of the landscape and degrades somewhat when used on extremely heterogeneous fine-grained landscapes. © 2006 IEEE.","author":[{"dropping-particle":"","family":"Gao","given":"Feng","non-dropping-particle":"","parse-names":false,"suffix":""},{"dropping-particle":"","family":"Masek","given":"Jeff","non-dropping-particle":"","parse-names":false,"suffix":""},{"dropping-particle":"","family":"Schwaller","given":"Matt","non-dropping-particle":"","parse-names":false,"suffix":""},{"dropping-particle":"","family":"Hall","given":"Forrest","non-dropping-particle":"","parse-names":false,"suffix":""}],"container-title":"IEEE Transactions on Geoscience and Remote Sensing","id":"ITEM-1","issue":"8","issued":{"date-parts":[["2006"]]},"page":"2207-2218","title":"On the blending of the landsat and MODIS surface reflectance: Predicting daily landsat surface reflectance","type":"article-journal","volume":"44"},"uris":["http://www.mendeley.com/documents/?uuid=c616ddaf-c933-4ec5-a503-a7c5a8c81839"]},{"id":"ITEM-2","itemData":{"DOI":"10.1016/j.rse.2010.08.005","ISSN":"00344257","abstract":"Conservation tillage management has been advocated for carbon sequestration and soil quality preservation purposes. Past satellite image analyses have had difficulty in differentiating between no-till (NT) and minimal tillage (MT) conservation classes due to similarities in surface residues, and may have been restricted by the availability of cloud-free satellite imagery. This study hypothesized that the inclusion of high temporal data into the classification process would increase conservation tillage accuracy due to the added likelihood of capturing spectral changes in MT fields following a tillage disturbance. Classification accuracies were evaluated for Random Forest models based on 250-m and 500-m MODIS, 30-m Landsat, and 30-m synthetic reflectance values. Synthetic (30-m) data derived from the Spatial and Temporal Adaptive Reflectance Fusion Model (STARFM) were evaluated because high frequency Landsat image sets are often unavailable within a cropping season due to cloud issues. Classification results from a five-date Landsat model were substantially better than those reported by previous classification tillage studies, with 94% total and ≥ 88% class producer's accuracies. Landsat-derived models based on individual image scenes (May through August) yielded poor MT classifications, but a monthly increase in accuracy illustrated the importance of temporal sampling for capturing regional tillage disturbance signatures. MODIS-based model accuracies (90% total; ≥ 82% class) were lower than in the five-date Landsat model, but were higher than previous image-based and survey-based tillage classification results. Almost all the STARFM prediction-based models had classification accuracies higher than, or comparable to, the MODIS-based results (&gt; 90% total; ≥ 84% class) but the resulting model accuracies were dependent on the MODIS/Landsat base pairs used to generate the STARFM predictions. Also evident within the STARFM prediction-based models was the ability for high frequency data series to compensate for degraded synthetic spectral values when classifying field-based tillage. The decision to use MODIS or STARFM-based data within conservation tillage analysis is likely situation dependent. A MODIS-based approach requires little data processing and could be more efficient for large-area mapping; however a STARFM-based analysis might be more appropriate in mixed-pixel situations that could potentially compromise classification accuracy. © 2010 Elsevier Inc.","author":[{"dropping-particle":"","family":"Watts","given":"Jennifer D.","non-dropping-particle":"","parse-names":false,"suffix":""},{"dropping-particle":"","family":"Powell","given":"Scott L.","non-dropping-particle":"","parse-names":false,"suffix":""},{"dropping-particle":"","family":"Lawrence","given":"Rick L.","non-dropping-particle":"","parse-names":false,"suffix":""},{"dropping-particle":"","family":"Hilker","given":"Thomas","non-dropping-particle":"","parse-names":false,"suffix":""}],"container-title":"Remote Sensing of Environment","id":"ITEM-2","issue":"1","issued":{"date-parts":[["2011"]]},"page":"66-75","title":"Improved classification of conservation tillage adoption using high temporal and synthetic satellite imagery","type":"article-journal","volume":"115"},"uris":["http://www.mendeley.com/documents/?uuid=208684cf-f0ac-42d4-91fb-75b9c6fdf50f"]}],"mendeley":{"formattedCitation":"(F. Gao et al., 2006; Watts et al., 2011)","manualFormatting":"(Gao et al., 2006; Watts et al., 2011)","plainTextFormattedCitation":"(F. Gao et al., 2006; Watts et al., 2011)","previouslyFormattedCitation":"(F. Gao et al., 2006; Watts et al., 2011)"},"properties":{"noteIndex":0},"schema":"https://github.com/citation-style-language/schema/raw/master/csl-citation.json"}</w:instrText>
            </w:r>
            <w:r w:rsidRPr="00C1362F">
              <w:rPr>
                <w:rFonts w:eastAsia="Times New Roman"/>
                <w:color w:val="000000"/>
              </w:rPr>
              <w:fldChar w:fldCharType="separate"/>
            </w:r>
            <w:r w:rsidRPr="005879DA">
              <w:rPr>
                <w:rFonts w:eastAsia="Times New Roman"/>
                <w:noProof/>
                <w:color w:val="000000"/>
              </w:rPr>
              <w:t>(Gao et al., 2006; Watts et al., 2011)</w:t>
            </w:r>
            <w:r w:rsidRPr="00C1362F">
              <w:rPr>
                <w:rFonts w:eastAsia="Times New Roman"/>
                <w:color w:val="000000"/>
              </w:rPr>
              <w:fldChar w:fldCharType="end"/>
            </w:r>
            <w:r w:rsidRPr="00C1362F">
              <w:rPr>
                <w:rFonts w:eastAsia="Times New Roman"/>
              </w:rPr>
              <w:t xml:space="preserve"> </w:t>
            </w:r>
          </w:p>
        </w:tc>
      </w:tr>
      <w:tr w:rsidR="00F25462" w:rsidRPr="00C1362F" w14:paraId="6342C8F5" w14:textId="77777777" w:rsidTr="000D368A">
        <w:tc>
          <w:tcPr>
            <w:tcW w:w="410" w:type="pct"/>
            <w:vMerge/>
            <w:tcBorders>
              <w:top w:val="single" w:sz="4" w:space="0" w:color="000000"/>
              <w:bottom w:val="single" w:sz="4" w:space="0" w:color="000000"/>
            </w:tcBorders>
            <w:vAlign w:val="center"/>
            <w:hideMark/>
          </w:tcPr>
          <w:p w14:paraId="07C3508D" w14:textId="77777777" w:rsidR="00F25462" w:rsidRPr="00C1362F" w:rsidRDefault="00F25462" w:rsidP="000D368A">
            <w:pPr>
              <w:rPr>
                <w:rFonts w:eastAsia="Times New Roman"/>
              </w:rPr>
            </w:pPr>
          </w:p>
        </w:tc>
        <w:tc>
          <w:tcPr>
            <w:tcW w:w="688" w:type="pct"/>
            <w:tcBorders>
              <w:top w:val="single" w:sz="4" w:space="0" w:color="000000"/>
              <w:bottom w:val="single" w:sz="4" w:space="0" w:color="000000"/>
            </w:tcBorders>
            <w:tcMar>
              <w:top w:w="0" w:type="dxa"/>
              <w:left w:w="108" w:type="dxa"/>
              <w:bottom w:w="0" w:type="dxa"/>
              <w:right w:w="108" w:type="dxa"/>
            </w:tcMar>
            <w:vAlign w:val="center"/>
            <w:hideMark/>
          </w:tcPr>
          <w:p w14:paraId="6AF5E2E6" w14:textId="77777777" w:rsidR="00F25462" w:rsidRPr="00C1362F" w:rsidRDefault="00F25462" w:rsidP="000D368A">
            <w:pPr>
              <w:jc w:val="center"/>
              <w:rPr>
                <w:rFonts w:eastAsia="Times New Roman"/>
              </w:rPr>
            </w:pPr>
            <w:r w:rsidRPr="00C1362F">
              <w:rPr>
                <w:rFonts w:eastAsia="Times New Roman"/>
                <w:color w:val="000000"/>
              </w:rPr>
              <w:t>Land cover type%</w:t>
            </w:r>
          </w:p>
        </w:tc>
        <w:tc>
          <w:tcPr>
            <w:tcW w:w="480" w:type="pct"/>
            <w:tcBorders>
              <w:top w:val="single" w:sz="4" w:space="0" w:color="000000"/>
              <w:bottom w:val="single" w:sz="4" w:space="0" w:color="000000"/>
            </w:tcBorders>
            <w:tcMar>
              <w:top w:w="0" w:type="dxa"/>
              <w:left w:w="108" w:type="dxa"/>
              <w:bottom w:w="0" w:type="dxa"/>
              <w:right w:w="108" w:type="dxa"/>
            </w:tcMar>
            <w:vAlign w:val="center"/>
            <w:hideMark/>
          </w:tcPr>
          <w:p w14:paraId="760E7BCD" w14:textId="77777777" w:rsidR="00F25462" w:rsidRPr="00C1362F" w:rsidRDefault="00F25462" w:rsidP="000D368A">
            <w:pPr>
              <w:jc w:val="center"/>
              <w:rPr>
                <w:rFonts w:eastAsia="Times New Roman"/>
              </w:rPr>
            </w:pPr>
            <w:r w:rsidRPr="00C1362F">
              <w:rPr>
                <w:rFonts w:eastAsia="Times New Roman"/>
                <w:color w:val="000000"/>
              </w:rPr>
              <w:t>30 m</w:t>
            </w:r>
          </w:p>
        </w:tc>
        <w:tc>
          <w:tcPr>
            <w:tcW w:w="481" w:type="pct"/>
            <w:tcBorders>
              <w:top w:val="single" w:sz="4" w:space="0" w:color="000000"/>
              <w:bottom w:val="single" w:sz="4" w:space="0" w:color="000000"/>
            </w:tcBorders>
            <w:tcMar>
              <w:top w:w="0" w:type="dxa"/>
              <w:left w:w="108" w:type="dxa"/>
              <w:bottom w:w="0" w:type="dxa"/>
              <w:right w:w="108" w:type="dxa"/>
            </w:tcMar>
            <w:vAlign w:val="center"/>
            <w:hideMark/>
          </w:tcPr>
          <w:p w14:paraId="24B05731" w14:textId="77777777" w:rsidR="00F25462" w:rsidRPr="00C1362F" w:rsidRDefault="00F25462" w:rsidP="000D368A">
            <w:pPr>
              <w:jc w:val="center"/>
              <w:rPr>
                <w:rFonts w:eastAsia="Times New Roman"/>
              </w:rPr>
            </w:pPr>
            <w:r w:rsidRPr="00C1362F">
              <w:rPr>
                <w:rFonts w:eastAsia="Times New Roman"/>
                <w:color w:val="000000"/>
              </w:rPr>
              <w:t>Annually</w:t>
            </w:r>
          </w:p>
        </w:tc>
        <w:tc>
          <w:tcPr>
            <w:tcW w:w="593" w:type="pct"/>
            <w:gridSpan w:val="2"/>
            <w:tcBorders>
              <w:top w:val="single" w:sz="4" w:space="0" w:color="000000"/>
              <w:bottom w:val="single" w:sz="4" w:space="0" w:color="000000"/>
            </w:tcBorders>
            <w:tcMar>
              <w:top w:w="0" w:type="dxa"/>
              <w:left w:w="108" w:type="dxa"/>
              <w:bottom w:w="0" w:type="dxa"/>
              <w:right w:w="108" w:type="dxa"/>
            </w:tcMar>
            <w:vAlign w:val="center"/>
            <w:hideMark/>
          </w:tcPr>
          <w:p w14:paraId="1C0DC60C" w14:textId="77777777" w:rsidR="00F25462" w:rsidRPr="00C1362F" w:rsidRDefault="00F25462" w:rsidP="000D368A">
            <w:pPr>
              <w:jc w:val="center"/>
              <w:rPr>
                <w:rFonts w:eastAsia="Times New Roman"/>
              </w:rPr>
            </w:pPr>
            <w:r w:rsidRPr="00C1362F">
              <w:rPr>
                <w:rFonts w:eastAsia="Times New Roman"/>
                <w:color w:val="000000"/>
              </w:rPr>
              <w:t>Since 1984</w:t>
            </w:r>
          </w:p>
        </w:tc>
        <w:tc>
          <w:tcPr>
            <w:tcW w:w="1445" w:type="pct"/>
            <w:tcBorders>
              <w:top w:val="single" w:sz="4" w:space="0" w:color="000000"/>
              <w:bottom w:val="single" w:sz="4" w:space="0" w:color="000000"/>
            </w:tcBorders>
            <w:vAlign w:val="center"/>
          </w:tcPr>
          <w:p w14:paraId="57738CA1" w14:textId="77777777" w:rsidR="00F25462" w:rsidRPr="00C1362F" w:rsidRDefault="00F25462" w:rsidP="000D368A">
            <w:pPr>
              <w:jc w:val="center"/>
              <w:rPr>
                <w:rFonts w:eastAsia="Times New Roman"/>
                <w:color w:val="000000"/>
              </w:rPr>
            </w:pPr>
            <w:r>
              <w:rPr>
                <w:rFonts w:eastAsia="Times New Roman"/>
                <w:color w:val="000000"/>
              </w:rPr>
              <w:t>Vegetation type</w:t>
            </w:r>
            <w:r w:rsidRPr="00C1362F">
              <w:rPr>
                <w:rFonts w:eastAsia="Times New Roman"/>
                <w:color w:val="000000"/>
              </w:rPr>
              <w:t xml:space="preserve"> assignment</w:t>
            </w:r>
          </w:p>
        </w:tc>
        <w:tc>
          <w:tcPr>
            <w:tcW w:w="903" w:type="pct"/>
            <w:tcBorders>
              <w:top w:val="single" w:sz="4" w:space="0" w:color="000000"/>
              <w:bottom w:val="single" w:sz="4" w:space="0" w:color="000000"/>
            </w:tcBorders>
            <w:tcMar>
              <w:top w:w="0" w:type="dxa"/>
              <w:left w:w="108" w:type="dxa"/>
              <w:bottom w:w="0" w:type="dxa"/>
              <w:right w:w="108" w:type="dxa"/>
            </w:tcMar>
            <w:vAlign w:val="center"/>
            <w:hideMark/>
          </w:tcPr>
          <w:p w14:paraId="06E6E744" w14:textId="77777777" w:rsidR="00F25462" w:rsidRPr="00C1362F" w:rsidRDefault="00F25462" w:rsidP="000D368A">
            <w:pPr>
              <w:jc w:val="center"/>
              <w:rPr>
                <w:rFonts w:eastAsia="Times New Roman"/>
              </w:rPr>
            </w:pPr>
            <w:r w:rsidRPr="00C1362F">
              <w:rPr>
                <w:rFonts w:eastAsia="Times New Roman"/>
                <w:color w:val="000000"/>
              </w:rPr>
              <w:t xml:space="preserve">RAP </w:t>
            </w:r>
            <w:r w:rsidRPr="00C1362F">
              <w:rPr>
                <w:rFonts w:eastAsia="Times New Roman"/>
                <w:color w:val="000000"/>
              </w:rPr>
              <w:fldChar w:fldCharType="begin" w:fldLock="1"/>
            </w:r>
            <w:r w:rsidRPr="00C1362F">
              <w:rPr>
                <w:rFonts w:eastAsia="Times New Roman"/>
                <w:color w:val="000000"/>
              </w:rPr>
              <w:instrText>ADDIN CSL_CITATION {"citationItems":[{"id":"ITEM-1","itemData":{"DOI":"10.1002/ecs2.2430","ISSN":"21508925","abstract":"Innovations in machine learning and cloud-based computing were merged with historical remote sensing and field data to provide the first moderate resolution, annual, percent cover maps of plant functional types across rangeland ecosystems to effectively and efficiently respond to pressing challenges facing conservation of biodiversity and ecosystem services. We utilized the historical Landsat satellite record, gridded meteorology, abiotic land surface data, and over 30,000 field plots within a Random Forests model to predict per-pixel percent cover of annual forbs and grasses, perennial forbs and grasses, shrubs, and bare ground over the western United States from 1984 to 2017. Results were validated using three independent collections of plot-level measurements, and resulting maps display land cover variation in response to changes in climate, disturbance, and management. The maps, which will be updated annually at the end of each year, provide exciting opportunities to expand and improve rangeland conservation, monitoring, and management. The data open new doors for scientific investigation at an unprecedented blend of temporal fidelity, spatial resolution, and geographic scale.","author":[{"dropping-particle":"","family":"Jones","given":"Matthew O.","non-dropping-particle":"","parse-names":false,"suffix":""},{"dropping-particle":"","family":"Allred","given":"Brady W.","non-dropping-particle":"","parse-names":false,"suffix":""},{"dropping-particle":"","family":"Naugle","given":"David E.","non-dropping-particle":"","parse-names":false,"suffix":""},{"dropping-particle":"","family":"Maestas","given":"Jeremy D.","non-dropping-particle":"","parse-names":false,"suffix":""},{"dropping-particle":"","family":"Donnelly","given":"Patrick","non-dropping-particle":"","parse-names":false,"suffix":""},{"dropping-particle":"","family":"Metz","given":"Loretta J.","non-dropping-particle":"","parse-names":false,"suffix":""},{"dropping-particle":"","family":"Karl","given":"Jason","non-dropping-particle":"","parse-names":false,"suffix":""},{"dropping-particle":"","family":"Smith","given":"Rob","non-dropping-particle":"","parse-names":false,"suffix":""},{"dropping-particle":"","family":"Bestelmeyer","given":"Brandon","non-dropping-particle":"","parse-names":false,"suffix":""},{"dropping-particle":"","family":"Boyd","given":"Chad","non-dropping-particle":"","parse-names":false,"suffix":""},{"dropping-particle":"","family":"Kerby","given":"Jay D.","non-dropping-particle":"","parse-names":false,"suffix":""},{"dropping-particle":"","family":"McIver","given":"James D.","non-dropping-particle":"","parse-names":false,"suffix":""}],"container-title":"Ecosphere","id":"ITEM-1","issued":{"date-parts":[["2018"]]},"page":"e02430","title":"Innovation in rangeland monitoring: annual, 30 m, plant functional type percent cover maps for U.S. rangelands, 1984–2017","type":"article-journal","volume":"9"},"uris":["http://www.mendeley.com/documents/?uuid=7add7dbe-0202-42ed-a08f-0e267b089b1a"]}],"mendeley":{"formattedCitation":"(M. O. Jones et al., 2018)","manualFormatting":"(Jones et al., 2018)","plainTextFormattedCitation":"(M. O. Jones et al., 2018)","previouslyFormattedCitation":"(M. O. Jones et al., 2018)"},"properties":{"noteIndex":0},"schema":"https://github.com/citation-style-language/schema/raw/master/csl-citation.json"}</w:instrText>
            </w:r>
            <w:r w:rsidRPr="00C1362F">
              <w:rPr>
                <w:rFonts w:eastAsia="Times New Roman"/>
                <w:color w:val="000000"/>
              </w:rPr>
              <w:fldChar w:fldCharType="separate"/>
            </w:r>
            <w:r w:rsidRPr="00C1362F">
              <w:rPr>
                <w:rFonts w:eastAsia="Times New Roman"/>
                <w:noProof/>
                <w:color w:val="000000"/>
              </w:rPr>
              <w:t>(Jones et al., 2018)</w:t>
            </w:r>
            <w:r w:rsidRPr="00C1362F">
              <w:rPr>
                <w:rFonts w:eastAsia="Times New Roman"/>
                <w:color w:val="000000"/>
              </w:rPr>
              <w:fldChar w:fldCharType="end"/>
            </w:r>
          </w:p>
        </w:tc>
      </w:tr>
      <w:tr w:rsidR="00F25462" w:rsidRPr="00C1362F" w14:paraId="3B454D90" w14:textId="77777777" w:rsidTr="000D368A">
        <w:tc>
          <w:tcPr>
            <w:tcW w:w="410" w:type="pct"/>
            <w:vMerge w:val="restart"/>
            <w:tcBorders>
              <w:top w:val="single" w:sz="4" w:space="0" w:color="000000"/>
            </w:tcBorders>
            <w:vAlign w:val="center"/>
          </w:tcPr>
          <w:p w14:paraId="1424541F" w14:textId="77777777" w:rsidR="00F25462" w:rsidRPr="00C1362F" w:rsidRDefault="00F25462" w:rsidP="000D368A">
            <w:pPr>
              <w:rPr>
                <w:rFonts w:eastAsia="Times New Roman"/>
              </w:rPr>
            </w:pPr>
            <w:r w:rsidRPr="00C1362F">
              <w:rPr>
                <w:rFonts w:eastAsia="Times New Roman"/>
              </w:rPr>
              <w:t>Topography</w:t>
            </w:r>
          </w:p>
        </w:tc>
        <w:tc>
          <w:tcPr>
            <w:tcW w:w="688" w:type="pct"/>
            <w:tcBorders>
              <w:top w:val="single" w:sz="4" w:space="0" w:color="000000"/>
              <w:bottom w:val="single" w:sz="4" w:space="0" w:color="000000"/>
            </w:tcBorders>
            <w:tcMar>
              <w:top w:w="0" w:type="dxa"/>
              <w:left w:w="108" w:type="dxa"/>
              <w:bottom w:w="0" w:type="dxa"/>
              <w:right w:w="108" w:type="dxa"/>
            </w:tcMar>
            <w:vAlign w:val="center"/>
          </w:tcPr>
          <w:p w14:paraId="50BBD911" w14:textId="77777777" w:rsidR="00F25462" w:rsidRPr="00C1362F" w:rsidRDefault="00F25462" w:rsidP="000D368A">
            <w:pPr>
              <w:jc w:val="center"/>
              <w:rPr>
                <w:rFonts w:eastAsia="Times New Roman"/>
                <w:color w:val="000000"/>
              </w:rPr>
            </w:pPr>
            <w:r w:rsidRPr="00C1362F">
              <w:rPr>
                <w:rFonts w:eastAsia="Times New Roman"/>
                <w:color w:val="000000"/>
              </w:rPr>
              <w:t>Elevation</w:t>
            </w:r>
          </w:p>
        </w:tc>
        <w:tc>
          <w:tcPr>
            <w:tcW w:w="480" w:type="pct"/>
            <w:vMerge w:val="restart"/>
            <w:tcBorders>
              <w:top w:val="single" w:sz="4" w:space="0" w:color="000000"/>
            </w:tcBorders>
            <w:tcMar>
              <w:top w:w="0" w:type="dxa"/>
              <w:left w:w="108" w:type="dxa"/>
              <w:bottom w:w="0" w:type="dxa"/>
              <w:right w:w="108" w:type="dxa"/>
            </w:tcMar>
            <w:vAlign w:val="center"/>
          </w:tcPr>
          <w:p w14:paraId="518336AB" w14:textId="77777777" w:rsidR="00F25462" w:rsidRPr="00C1362F" w:rsidRDefault="00F25462" w:rsidP="000D368A">
            <w:pPr>
              <w:jc w:val="center"/>
              <w:rPr>
                <w:rFonts w:eastAsia="Times New Roman"/>
                <w:color w:val="000000"/>
              </w:rPr>
            </w:pPr>
            <w:r w:rsidRPr="00C1362F">
              <w:rPr>
                <w:rFonts w:eastAsia="Times New Roman"/>
                <w:color w:val="000000"/>
              </w:rPr>
              <w:t>30 m</w:t>
            </w:r>
          </w:p>
        </w:tc>
        <w:tc>
          <w:tcPr>
            <w:tcW w:w="1074" w:type="pct"/>
            <w:gridSpan w:val="3"/>
            <w:vMerge w:val="restart"/>
            <w:tcBorders>
              <w:top w:val="single" w:sz="4" w:space="0" w:color="000000"/>
            </w:tcBorders>
            <w:tcMar>
              <w:top w:w="0" w:type="dxa"/>
              <w:left w:w="108" w:type="dxa"/>
              <w:bottom w:w="0" w:type="dxa"/>
              <w:right w:w="108" w:type="dxa"/>
            </w:tcMar>
            <w:vAlign w:val="center"/>
          </w:tcPr>
          <w:p w14:paraId="31D521A1" w14:textId="77777777" w:rsidR="00F25462" w:rsidRPr="00C1362F" w:rsidRDefault="00F25462" w:rsidP="000D368A">
            <w:pPr>
              <w:jc w:val="center"/>
              <w:rPr>
                <w:rFonts w:eastAsia="Times New Roman"/>
                <w:color w:val="000000"/>
              </w:rPr>
            </w:pPr>
            <w:r w:rsidRPr="00C1362F">
              <w:rPr>
                <w:rFonts w:eastAsia="Times New Roman"/>
                <w:color w:val="000000"/>
              </w:rPr>
              <w:t>Only once in time</w:t>
            </w:r>
          </w:p>
        </w:tc>
        <w:tc>
          <w:tcPr>
            <w:tcW w:w="1445" w:type="pct"/>
            <w:vMerge w:val="restart"/>
            <w:tcBorders>
              <w:top w:val="single" w:sz="4" w:space="0" w:color="000000"/>
            </w:tcBorders>
            <w:vAlign w:val="center"/>
          </w:tcPr>
          <w:p w14:paraId="5877D95B" w14:textId="77777777" w:rsidR="00F25462" w:rsidRPr="00C1362F" w:rsidRDefault="00F25462" w:rsidP="000D368A">
            <w:pPr>
              <w:jc w:val="center"/>
              <w:rPr>
                <w:rFonts w:eastAsia="Times New Roman"/>
                <w:color w:val="000000"/>
              </w:rPr>
            </w:pPr>
            <w:r w:rsidRPr="00C1362F">
              <w:rPr>
                <w:rFonts w:eastAsia="Times New Roman"/>
                <w:color w:val="000000"/>
              </w:rPr>
              <w:t>Site-based correlation analysis</w:t>
            </w:r>
          </w:p>
        </w:tc>
        <w:tc>
          <w:tcPr>
            <w:tcW w:w="903" w:type="pct"/>
            <w:vMerge w:val="restart"/>
            <w:tcBorders>
              <w:top w:val="single" w:sz="4" w:space="0" w:color="000000"/>
            </w:tcBorders>
            <w:tcMar>
              <w:top w:w="0" w:type="dxa"/>
              <w:left w:w="108" w:type="dxa"/>
              <w:bottom w:w="0" w:type="dxa"/>
              <w:right w:w="108" w:type="dxa"/>
            </w:tcMar>
            <w:vAlign w:val="center"/>
          </w:tcPr>
          <w:p w14:paraId="08DA56EC" w14:textId="77777777" w:rsidR="00F25462" w:rsidRPr="00C1362F" w:rsidRDefault="00F25462" w:rsidP="000D368A">
            <w:pPr>
              <w:jc w:val="center"/>
              <w:rPr>
                <w:rFonts w:eastAsia="Times New Roman"/>
                <w:color w:val="000000"/>
              </w:rPr>
            </w:pPr>
            <w:r w:rsidRPr="00C1362F">
              <w:rPr>
                <w:rFonts w:eastAsia="Times New Roman"/>
                <w:color w:val="000000"/>
              </w:rPr>
              <w:t xml:space="preserve">SRTM </w:t>
            </w:r>
            <w:r w:rsidRPr="00C1362F">
              <w:rPr>
                <w:rFonts w:eastAsia="Times New Roman"/>
                <w:color w:val="000000"/>
              </w:rPr>
              <w:fldChar w:fldCharType="begin" w:fldLock="1"/>
            </w:r>
            <w:r>
              <w:rPr>
                <w:rFonts w:eastAsia="Times New Roman"/>
                <w:color w:val="000000"/>
              </w:rPr>
              <w:instrText>ADDIN CSL_CITATION {"citationItems":[{"id":"ITEM-1","itemData":{"DOI":"10.1016/S0094-5765(01)00020-0","ISSN":"00945765","author":[{"dropping-particle":"","family":"Zyl","given":"Jakob J.","non-dropping-particle":"van","parse-names":false,"suffix":""}],"container-title":"Acta Astronautica","id":"ITEM-1","issue":"5-12","issued":{"date-parts":[["2001"]]},"page":"559-565","title":"The shuttle radar topography mission (SRTM): A breakthrough in remote sensing of topography","type":"article-journal","volume":"48"},"uris":["http://www.mendeley.com/documents/?uuid=66cd1645-0e05-4171-9bf9-f206b12a9064"]}],"mendeley":{"formattedCitation":"(van Zyl, 2001)","plainTextFormattedCitation":"(van Zyl, 2001)","previouslyFormattedCitation":"(van Zyl, 2001)"},"properties":{"noteIndex":0},"schema":"https://github.com/citation-style-language/schema/raw/master/csl-citation.json"}</w:instrText>
            </w:r>
            <w:r w:rsidRPr="00C1362F">
              <w:rPr>
                <w:rFonts w:eastAsia="Times New Roman"/>
                <w:color w:val="000000"/>
              </w:rPr>
              <w:fldChar w:fldCharType="separate"/>
            </w:r>
            <w:r w:rsidRPr="006640AB">
              <w:rPr>
                <w:rFonts w:eastAsia="Times New Roman"/>
                <w:noProof/>
                <w:color w:val="000000"/>
              </w:rPr>
              <w:t>(van Zyl, 2001)</w:t>
            </w:r>
            <w:r w:rsidRPr="00C1362F">
              <w:rPr>
                <w:rFonts w:eastAsia="Times New Roman"/>
                <w:color w:val="000000"/>
              </w:rPr>
              <w:fldChar w:fldCharType="end"/>
            </w:r>
          </w:p>
        </w:tc>
      </w:tr>
      <w:tr w:rsidR="00F25462" w:rsidRPr="00C1362F" w14:paraId="6E5951E5" w14:textId="77777777" w:rsidTr="000D368A">
        <w:tc>
          <w:tcPr>
            <w:tcW w:w="410" w:type="pct"/>
            <w:vMerge/>
            <w:tcBorders>
              <w:bottom w:val="single" w:sz="12" w:space="0" w:color="000000"/>
            </w:tcBorders>
            <w:vAlign w:val="center"/>
          </w:tcPr>
          <w:p w14:paraId="6CBD5F22" w14:textId="77777777" w:rsidR="00F25462" w:rsidRPr="00C1362F" w:rsidRDefault="00F25462" w:rsidP="000D368A">
            <w:pPr>
              <w:rPr>
                <w:rFonts w:eastAsia="Times New Roman"/>
              </w:rPr>
            </w:pPr>
          </w:p>
        </w:tc>
        <w:tc>
          <w:tcPr>
            <w:tcW w:w="688" w:type="pct"/>
            <w:tcBorders>
              <w:top w:val="single" w:sz="4" w:space="0" w:color="000000"/>
              <w:bottom w:val="single" w:sz="12" w:space="0" w:color="000000"/>
            </w:tcBorders>
            <w:tcMar>
              <w:top w:w="0" w:type="dxa"/>
              <w:left w:w="108" w:type="dxa"/>
              <w:bottom w:w="0" w:type="dxa"/>
              <w:right w:w="108" w:type="dxa"/>
            </w:tcMar>
            <w:vAlign w:val="center"/>
          </w:tcPr>
          <w:p w14:paraId="37F782AE" w14:textId="77777777" w:rsidR="00F25462" w:rsidRPr="00C1362F" w:rsidRDefault="00F25462" w:rsidP="000D368A">
            <w:pPr>
              <w:jc w:val="center"/>
              <w:rPr>
                <w:rFonts w:eastAsia="Times New Roman"/>
                <w:color w:val="000000"/>
              </w:rPr>
            </w:pPr>
            <w:r w:rsidRPr="00C1362F">
              <w:rPr>
                <w:rFonts w:eastAsia="Times New Roman"/>
                <w:color w:val="000000"/>
              </w:rPr>
              <w:t>Slope</w:t>
            </w:r>
          </w:p>
        </w:tc>
        <w:tc>
          <w:tcPr>
            <w:tcW w:w="480" w:type="pct"/>
            <w:vMerge/>
            <w:tcBorders>
              <w:bottom w:val="single" w:sz="12" w:space="0" w:color="000000"/>
            </w:tcBorders>
            <w:tcMar>
              <w:top w:w="0" w:type="dxa"/>
              <w:left w:w="108" w:type="dxa"/>
              <w:bottom w:w="0" w:type="dxa"/>
              <w:right w:w="108" w:type="dxa"/>
            </w:tcMar>
            <w:vAlign w:val="center"/>
          </w:tcPr>
          <w:p w14:paraId="2D5D1345" w14:textId="77777777" w:rsidR="00F25462" w:rsidRPr="00C1362F" w:rsidRDefault="00F25462" w:rsidP="000D368A">
            <w:pPr>
              <w:jc w:val="center"/>
              <w:rPr>
                <w:rFonts w:eastAsia="Times New Roman"/>
                <w:color w:val="000000"/>
              </w:rPr>
            </w:pPr>
          </w:p>
        </w:tc>
        <w:tc>
          <w:tcPr>
            <w:tcW w:w="1074" w:type="pct"/>
            <w:gridSpan w:val="3"/>
            <w:vMerge/>
            <w:tcBorders>
              <w:bottom w:val="single" w:sz="12" w:space="0" w:color="000000"/>
            </w:tcBorders>
            <w:tcMar>
              <w:top w:w="0" w:type="dxa"/>
              <w:left w:w="108" w:type="dxa"/>
              <w:bottom w:w="0" w:type="dxa"/>
              <w:right w:w="108" w:type="dxa"/>
            </w:tcMar>
            <w:vAlign w:val="center"/>
          </w:tcPr>
          <w:p w14:paraId="66B91189" w14:textId="77777777" w:rsidR="00F25462" w:rsidRPr="00C1362F" w:rsidRDefault="00F25462" w:rsidP="000D368A">
            <w:pPr>
              <w:jc w:val="center"/>
              <w:rPr>
                <w:rFonts w:eastAsia="Times New Roman"/>
                <w:color w:val="000000"/>
              </w:rPr>
            </w:pPr>
          </w:p>
        </w:tc>
        <w:tc>
          <w:tcPr>
            <w:tcW w:w="1445" w:type="pct"/>
            <w:vMerge/>
            <w:tcBorders>
              <w:bottom w:val="single" w:sz="12" w:space="0" w:color="000000"/>
            </w:tcBorders>
            <w:vAlign w:val="center"/>
          </w:tcPr>
          <w:p w14:paraId="64E29BF2" w14:textId="77777777" w:rsidR="00F25462" w:rsidRPr="00C1362F" w:rsidRDefault="00F25462" w:rsidP="000D368A">
            <w:pPr>
              <w:jc w:val="center"/>
              <w:rPr>
                <w:rFonts w:eastAsia="Times New Roman"/>
                <w:color w:val="000000"/>
              </w:rPr>
            </w:pPr>
          </w:p>
        </w:tc>
        <w:tc>
          <w:tcPr>
            <w:tcW w:w="903" w:type="pct"/>
            <w:vMerge/>
            <w:tcBorders>
              <w:bottom w:val="single" w:sz="12" w:space="0" w:color="000000"/>
            </w:tcBorders>
            <w:tcMar>
              <w:top w:w="0" w:type="dxa"/>
              <w:left w:w="108" w:type="dxa"/>
              <w:bottom w:w="0" w:type="dxa"/>
              <w:right w:w="108" w:type="dxa"/>
            </w:tcMar>
            <w:vAlign w:val="center"/>
          </w:tcPr>
          <w:p w14:paraId="64857152" w14:textId="77777777" w:rsidR="00F25462" w:rsidRPr="00C1362F" w:rsidRDefault="00F25462" w:rsidP="000D368A">
            <w:pPr>
              <w:jc w:val="center"/>
              <w:rPr>
                <w:rFonts w:eastAsia="Times New Roman"/>
                <w:color w:val="000000"/>
              </w:rPr>
            </w:pPr>
          </w:p>
        </w:tc>
      </w:tr>
    </w:tbl>
    <w:p w14:paraId="73A7A8BD" w14:textId="77777777" w:rsidR="00F25462" w:rsidRPr="00C1362F" w:rsidRDefault="00F25462" w:rsidP="00F25462">
      <w:pPr>
        <w:pStyle w:val="NormalWeb"/>
        <w:jc w:val="both"/>
        <w:rPr>
          <w:color w:val="000000"/>
          <w:sz w:val="20"/>
          <w:szCs w:val="20"/>
        </w:rPr>
      </w:pPr>
      <w:r w:rsidRPr="00C1362F">
        <w:rPr>
          <w:color w:val="000000"/>
          <w:sz w:val="20"/>
          <w:szCs w:val="20"/>
          <w:vertAlign w:val="superscript"/>
        </w:rPr>
        <w:t>a</w:t>
      </w:r>
      <w:r w:rsidRPr="00C1362F">
        <w:rPr>
          <w:color w:val="000000"/>
          <w:sz w:val="20"/>
          <w:szCs w:val="20"/>
        </w:rPr>
        <w:t xml:space="preserve"> Clay%: soil clay content; fPAR: fraction of absorbed photosynthetically active radiation; VPD: vapor pressure deficit.</w:t>
      </w:r>
    </w:p>
    <w:p w14:paraId="02013FE4" w14:textId="77777777" w:rsidR="00F25462" w:rsidRPr="00C1362F" w:rsidRDefault="00F25462" w:rsidP="00F25462">
      <w:pPr>
        <w:pStyle w:val="NormalWeb"/>
        <w:jc w:val="both"/>
      </w:pPr>
      <w:r w:rsidRPr="00C1362F">
        <w:rPr>
          <w:color w:val="000000"/>
          <w:sz w:val="20"/>
          <w:szCs w:val="20"/>
          <w:vertAlign w:val="superscript"/>
        </w:rPr>
        <w:t>b</w:t>
      </w:r>
      <w:r w:rsidRPr="00C1362F">
        <w:rPr>
          <w:color w:val="000000"/>
          <w:sz w:val="20"/>
          <w:szCs w:val="20"/>
        </w:rPr>
        <w:t xml:space="preserve"> GPP: gross primary productivity; NEE: net ecosystem exchange; SOC: soil organic carbon</w:t>
      </w:r>
      <w:r>
        <w:rPr>
          <w:color w:val="000000"/>
          <w:sz w:val="20"/>
          <w:szCs w:val="20"/>
        </w:rPr>
        <w:t>.</w:t>
      </w:r>
    </w:p>
    <w:p w14:paraId="04FCD098" w14:textId="77777777" w:rsidR="00F25462" w:rsidRPr="00C1362F" w:rsidRDefault="00F25462" w:rsidP="00F25462">
      <w:pPr>
        <w:jc w:val="both"/>
        <w:rPr>
          <w:rFonts w:eastAsia="Times New Roman"/>
          <w:color w:val="000000"/>
        </w:rPr>
      </w:pPr>
      <w:r w:rsidRPr="00C1362F">
        <w:rPr>
          <w:color w:val="000000"/>
          <w:vertAlign w:val="superscript"/>
        </w:rPr>
        <w:t>c</w:t>
      </w:r>
      <w:r w:rsidRPr="00C1362F">
        <w:rPr>
          <w:rFonts w:eastAsia="Times New Roman"/>
          <w:color w:val="000000"/>
        </w:rPr>
        <w:t xml:space="preserve"> DAYMET: Daily Surface Weather and Climatological Summaries; MODIS: Moderate Resolution Imaging Spectroradiometer; NLDAS</w:t>
      </w:r>
      <w:r>
        <w:rPr>
          <w:rFonts w:eastAsia="Times New Roman"/>
          <w:color w:val="000000"/>
        </w:rPr>
        <w:t>:</w:t>
      </w:r>
      <w:r w:rsidRPr="00C1362F">
        <w:rPr>
          <w:rFonts w:eastAsia="Times New Roman"/>
          <w:color w:val="000000"/>
        </w:rPr>
        <w:t xml:space="preserve"> North American Land Data Assimilation System; RAP: Rangeland Analysis Platform; </w:t>
      </w:r>
      <w:bookmarkStart w:id="3" w:name="_Hlk152851542"/>
      <w:r w:rsidRPr="00C1362F">
        <w:rPr>
          <w:rFonts w:eastAsia="Times New Roman"/>
          <w:color w:val="000000"/>
        </w:rPr>
        <w:t>SRTM</w:t>
      </w:r>
      <w:r>
        <w:rPr>
          <w:rFonts w:eastAsia="Times New Roman"/>
          <w:color w:val="000000"/>
        </w:rPr>
        <w:t>:</w:t>
      </w:r>
      <w:r w:rsidRPr="00C1362F">
        <w:rPr>
          <w:rFonts w:eastAsia="Times New Roman"/>
          <w:color w:val="000000"/>
        </w:rPr>
        <w:t xml:space="preserve"> Shuttle Radar Topography Mission</w:t>
      </w:r>
      <w:bookmarkEnd w:id="3"/>
      <w:r w:rsidRPr="00C1362F">
        <w:rPr>
          <w:rFonts w:eastAsia="Times New Roman"/>
          <w:color w:val="000000"/>
        </w:rPr>
        <w:t>.</w:t>
      </w:r>
    </w:p>
    <w:p w14:paraId="71DB04A0" w14:textId="77777777" w:rsidR="00F25462" w:rsidRPr="00C1362F" w:rsidRDefault="00F25462" w:rsidP="00F25462">
      <w:pPr>
        <w:sectPr w:rsidR="00F25462" w:rsidRPr="00C1362F" w:rsidSect="001931EB">
          <w:pgSz w:w="15840" w:h="12240" w:orient="landscape"/>
          <w:pgMar w:top="1440" w:right="1440" w:bottom="1440" w:left="1440" w:header="720" w:footer="720" w:gutter="0"/>
          <w:lnNumType w:countBy="1" w:restart="continuous"/>
          <w:cols w:space="720"/>
          <w:docGrid w:linePitch="360"/>
        </w:sectPr>
      </w:pPr>
    </w:p>
    <w:p w14:paraId="7A4D61CD" w14:textId="4C4B96CA" w:rsidR="00F25462" w:rsidRPr="00C1362F" w:rsidRDefault="00F25462" w:rsidP="00F25462">
      <w:pPr>
        <w:pStyle w:val="Heading-Secondary"/>
      </w:pPr>
      <w:r w:rsidRPr="00C1362F">
        <w:lastRenderedPageBreak/>
        <w:t xml:space="preserve">2.2 Study </w:t>
      </w:r>
      <w:r>
        <w:t>s</w:t>
      </w:r>
      <w:r w:rsidRPr="00C1362F">
        <w:t xml:space="preserve">ites and </w:t>
      </w:r>
      <w:r>
        <w:t>d</w:t>
      </w:r>
      <w:r w:rsidRPr="00C1362F">
        <w:t xml:space="preserve">ata </w:t>
      </w:r>
      <w:r>
        <w:t>s</w:t>
      </w:r>
      <w:r w:rsidRPr="00C1362F">
        <w:t>ources</w:t>
      </w:r>
    </w:p>
    <w:p w14:paraId="05ADF7ED" w14:textId="77777777" w:rsidR="00F25462" w:rsidRPr="00C1362F" w:rsidRDefault="00F25462" w:rsidP="00F25462">
      <w:pPr>
        <w:spacing w:before="120"/>
        <w:ind w:firstLine="720"/>
        <w:jc w:val="both"/>
        <w:rPr>
          <w:rFonts w:eastAsia="Arial"/>
          <w:sz w:val="24"/>
        </w:rPr>
      </w:pPr>
      <w:r w:rsidRPr="00C1362F">
        <w:rPr>
          <w:rFonts w:eastAsia="Arial"/>
          <w:sz w:val="24"/>
        </w:rPr>
        <w:t xml:space="preserve">For model parameterization, study sites were selected from the Ameriflux </w:t>
      </w:r>
      <w:r w:rsidRPr="00C1362F">
        <w:rPr>
          <w:rFonts w:eastAsia="Arial"/>
          <w:sz w:val="24"/>
        </w:rPr>
        <w:fldChar w:fldCharType="begin" w:fldLock="1"/>
      </w:r>
      <w:r w:rsidRPr="00C1362F">
        <w:rPr>
          <w:rFonts w:eastAsia="Arial"/>
          <w:sz w:val="24"/>
        </w:rPr>
        <w:instrText>ADDIN CSL_CITATION {"citationItems":[{"id":"ITEM-1","itemData":{"DOI":"10.1016/j.agrformet.2017.10.009","ISSN":"01681923","author":[{"dropping-particle":"","family":"Novick","given":"K.A.","non-dropping-particle":"","parse-names":false,"suffix":""},{"dropping-particle":"","family":"Biederman","given":"J.A.","non-dropping-particle":"","parse-names":false,"suffix":""},{"dropping-particle":"","family":"Desai","given":"A.R.","non-dropping-particle":"","parse-names":false,"suffix":""},{"dropping-particle":"","family":"Litvak","given":"M.E.","non-dropping-particle":"","parse-names":false,"suffix":""},{"dropping-particle":"","family":"Moore","given":"D.J.P.","non-dropping-particle":"","parse-names":false,"suffix":""},{"dropping-particle":"","family":"Scott","given":"R.L.","non-dropping-particle":"","parse-names":false,"suffix":""},{"dropping-particle":"","family":"Torn","given":"M.S.","non-dropping-particle":"","parse-names":false,"suffix":""}],"container-title":"Agricultural and Forest Meteorology","id":"ITEM-1","issued":{"date-parts":[["2018","2"]]},"page":"444-456","title":"The AmeriFlux network: A coalition of the willing","type":"article-journal","volume":"249"},"uris":["http://www.mendeley.com/documents/?uuid=7f2451bd-88e1-4aa3-9b1c-b502fd2cfbb6"]}],"mendeley":{"formattedCitation":"(Novick et al., 2018)","manualFormatting":"(Novick et al., 2018; https://ameriflux.lbl.gov/)","plainTextFormattedCitation":"(Novick et al., 2018)","previouslyFormattedCitation":"(Novick et al., 2018)"},"properties":{"noteIndex":0},"schema":"https://github.com/citation-style-language/schema/raw/master/csl-citation.json"}</w:instrText>
      </w:r>
      <w:r w:rsidRPr="00C1362F">
        <w:rPr>
          <w:rFonts w:eastAsia="Arial"/>
          <w:sz w:val="24"/>
        </w:rPr>
        <w:fldChar w:fldCharType="separate"/>
      </w:r>
      <w:r w:rsidRPr="00C1362F">
        <w:rPr>
          <w:rFonts w:eastAsia="Arial"/>
          <w:noProof/>
          <w:sz w:val="24"/>
        </w:rPr>
        <w:t xml:space="preserve">(Novick et al., 2018; </w:t>
      </w:r>
      <w:hyperlink r:id="rId10" w:history="1">
        <w:r w:rsidRPr="00C1362F">
          <w:rPr>
            <w:rStyle w:val="Hyperlink"/>
            <w:rFonts w:eastAsia="Arial"/>
            <w:noProof/>
            <w:sz w:val="24"/>
          </w:rPr>
          <w:t>https://ameriflux.lbl.gov/</w:t>
        </w:r>
      </w:hyperlink>
      <w:r w:rsidRPr="00C1362F">
        <w:rPr>
          <w:rFonts w:eastAsia="Arial"/>
          <w:noProof/>
          <w:sz w:val="24"/>
        </w:rPr>
        <w:t>)</w:t>
      </w:r>
      <w:r w:rsidRPr="00C1362F">
        <w:rPr>
          <w:rFonts w:eastAsia="Arial"/>
          <w:sz w:val="24"/>
        </w:rPr>
        <w:fldChar w:fldCharType="end"/>
      </w:r>
      <w:r w:rsidRPr="00C1362F">
        <w:rPr>
          <w:rFonts w:eastAsia="Arial"/>
          <w:sz w:val="24"/>
        </w:rPr>
        <w:t xml:space="preserve"> and </w:t>
      </w:r>
      <w:bookmarkStart w:id="4" w:name="_Hlk151544072"/>
      <w:r w:rsidRPr="00C1362F">
        <w:rPr>
          <w:rFonts w:eastAsia="Arial"/>
          <w:sz w:val="24"/>
        </w:rPr>
        <w:t>National Ecological Observatory Network</w:t>
      </w:r>
      <w:bookmarkEnd w:id="4"/>
      <w:r w:rsidRPr="00C1362F">
        <w:rPr>
          <w:rFonts w:eastAsia="Arial"/>
          <w:sz w:val="24"/>
        </w:rPr>
        <w:t xml:space="preserve"> (NEON) networks (</w:t>
      </w:r>
      <w:r w:rsidRPr="00C1362F">
        <w:rPr>
          <w:rFonts w:eastAsia="Arial"/>
          <w:sz w:val="24"/>
        </w:rPr>
        <w:fldChar w:fldCharType="begin" w:fldLock="1"/>
      </w:r>
      <w:r w:rsidRPr="00C1362F">
        <w:rPr>
          <w:rFonts w:eastAsia="Arial"/>
          <w:sz w:val="24"/>
        </w:rPr>
        <w:instrText>ADDIN CSL_CITATION {"citationItems":[{"id":"ITEM-1","itemData":{"DOI":"10.1890/1540-9295(2008)6[282:ACSFTN]2.0.CO;2","ISSN":"15409295","author":[{"dropping-particle":"","family":"Keller","given":"Michael","non-dropping-particle":"","parse-names":false,"suffix":""},{"dropping-particle":"","family":"Schimel","given":"David S.","non-dropping-particle":"","parse-names":false,"suffix":""},{"dropping-particle":"","family":"Hargrove","given":"William W.","non-dropping-particle":"","parse-names":false,"suffix":""},{"dropping-particle":"","family":"Hoffman","given":"Forrest M.","non-dropping-particle":"","parse-names":false,"suffix":""}],"container-title":"Frontiers in Ecology and the Environment","id":"ITEM-1","issue":"5","issued":{"date-parts":[["2008"]]},"page":"282-284","title":"A continental strategy for the National Ecological Observatory Network","type":"article-journal","volume":"6"},"uris":["http://www.mendeley.com/documents/?uuid=cceaf754-b1d2-4f7f-acb6-ccb66b4e09ba"]}],"mendeley":{"formattedCitation":"(Keller et al., 2008)","manualFormatting":"Keller et al., 2008","plainTextFormattedCitation":"(Keller et al., 2008)","previouslyFormattedCitation":"(Keller et al., 2008)"},"properties":{"noteIndex":0},"schema":"https://github.com/citation-style-language/schema/raw/master/csl-citation.json"}</w:instrText>
      </w:r>
      <w:r w:rsidRPr="00C1362F">
        <w:rPr>
          <w:rFonts w:eastAsia="Arial"/>
          <w:sz w:val="24"/>
        </w:rPr>
        <w:fldChar w:fldCharType="separate"/>
      </w:r>
      <w:r w:rsidRPr="00C1362F">
        <w:rPr>
          <w:rFonts w:eastAsia="Arial"/>
          <w:noProof/>
          <w:sz w:val="24"/>
        </w:rPr>
        <w:t>Keller et al., 2008</w:t>
      </w:r>
      <w:r w:rsidRPr="00C1362F">
        <w:rPr>
          <w:rFonts w:eastAsia="Arial"/>
          <w:sz w:val="24"/>
        </w:rPr>
        <w:fldChar w:fldCharType="end"/>
      </w:r>
      <w:r w:rsidRPr="00C1362F">
        <w:rPr>
          <w:rFonts w:eastAsia="Arial"/>
          <w:sz w:val="24"/>
        </w:rPr>
        <w:t xml:space="preserve">; </w:t>
      </w:r>
      <w:bookmarkStart w:id="5" w:name="_Hlk155861777"/>
      <w:r w:rsidRPr="00C1362F">
        <w:rPr>
          <w:rFonts w:eastAsia="Arial"/>
          <w:sz w:val="24"/>
        </w:rPr>
        <w:fldChar w:fldCharType="begin"/>
      </w:r>
      <w:r w:rsidRPr="00C1362F">
        <w:rPr>
          <w:rFonts w:eastAsia="Arial"/>
          <w:sz w:val="24"/>
        </w:rPr>
        <w:instrText>HYPERLINK "https://www.neonscience.org/"</w:instrText>
      </w:r>
      <w:r w:rsidRPr="00C1362F">
        <w:rPr>
          <w:rFonts w:eastAsia="Arial"/>
          <w:sz w:val="24"/>
        </w:rPr>
      </w:r>
      <w:r w:rsidRPr="00C1362F">
        <w:rPr>
          <w:rFonts w:eastAsia="Arial"/>
          <w:sz w:val="24"/>
        </w:rPr>
        <w:fldChar w:fldCharType="separate"/>
      </w:r>
      <w:r w:rsidRPr="00C1362F">
        <w:rPr>
          <w:rStyle w:val="Hyperlink"/>
          <w:rFonts w:eastAsia="Arial"/>
          <w:sz w:val="24"/>
        </w:rPr>
        <w:t>https://www.neonscience.org/</w:t>
      </w:r>
      <w:r w:rsidRPr="00C1362F">
        <w:rPr>
          <w:rFonts w:eastAsia="Arial"/>
          <w:sz w:val="24"/>
        </w:rPr>
        <w:fldChar w:fldCharType="end"/>
      </w:r>
      <w:bookmarkEnd w:id="5"/>
      <w:r w:rsidRPr="00C1362F">
        <w:rPr>
          <w:rFonts w:eastAsia="Arial"/>
          <w:sz w:val="24"/>
        </w:rPr>
        <w:t>) within the Western and Midwestern U.S. states (Fig. 2). We first identified all of the flux tower</w:t>
      </w:r>
      <w:r>
        <w:rPr>
          <w:rFonts w:eastAsia="Arial"/>
          <w:sz w:val="24"/>
        </w:rPr>
        <w:t xml:space="preserve"> sites</w:t>
      </w:r>
      <w:r w:rsidRPr="00C1362F">
        <w:rPr>
          <w:rFonts w:eastAsia="Arial"/>
          <w:sz w:val="24"/>
        </w:rPr>
        <w:t xml:space="preserve"> located within the region</w:t>
      </w:r>
      <w:r>
        <w:rPr>
          <w:rFonts w:eastAsia="Arial"/>
          <w:sz w:val="24"/>
        </w:rPr>
        <w:t xml:space="preserve"> and classified as</w:t>
      </w:r>
      <w:r w:rsidRPr="00C1362F">
        <w:rPr>
          <w:rFonts w:eastAsia="Arial"/>
          <w:sz w:val="24"/>
        </w:rPr>
        <w:t xml:space="preserve"> grasslands (‘GRA’), savannas (‘SAV’), or open shrublands (‘OSH’), as well as those identified under grassland or pasture-relevant classes according to the National Land Cover Database (NLCD) data layers </w:t>
      </w:r>
      <w:r w:rsidRPr="00C1362F">
        <w:rPr>
          <w:rFonts w:eastAsia="Arial"/>
          <w:sz w:val="24"/>
        </w:rPr>
        <w:fldChar w:fldCharType="begin" w:fldLock="1"/>
      </w:r>
      <w:r w:rsidRPr="00C1362F">
        <w:rPr>
          <w:rFonts w:eastAsia="Arial"/>
          <w:sz w:val="24"/>
        </w:rPr>
        <w:instrText>ADDIN CSL_CITATION {"citationItems":[{"id":"ITEM-1","itemData":{"ISBN":"0099-1112","ISSN":"0099-1112","abstract":"Appropriate and relevant land cover information is increasingly required by a broad spectrum of scientific, economic and governmental applications as essential input to analyze such issues as assessing ecosystem status and health, understanding spatial patterns of biodiversity and developing land management policy. The publication of the first National Land Cover Dataset (NLCD 1992) (Vogelmann et al. 2001) created a 30-meter resolution land cover data layer over the conterminous United States from circa 1992 Landsat Thematic Mapper (TM) imagery. Information from this original NLCD 1992 has been used in thousands of applications in the private, public, and academic sectors ranging from assisting in placing cell phone towers to tracking how diseases spread. The national consistency of this information has provided critical analysis for many national applications such as the Heinz Center’s State of the Nation’s Ecosystems (Heinz Center 2002), the Environmental Protection Agency’s Draft Report on the Environment (USEPA 2003) and the U.S. Geological Survey National Water Quality Assessment program. Starting in 1999, new research was undertaken to expand and update NLCD 1992 into a full scale land cover database (with multiple instead of single products), and to produce it across all 50 states and Puerto Rico (Homer et al. 2004). This new database is called the National Land Cover Database 2001 (the 2001 refers to the nominal year from which most of the Landsat 5 and Landsat 7 imagery was acquired) and has been under production for 6 years. This article announces the completion of NLCD 2001 for the conterminous United States, with products that can identify one of 16 classes of land cover, the percent tree canopy, and the percent urban imperviousness for every 30-meter cell in the conterminous 48 states (approximately 27 billion cells). Both NLCD 1992 and NLCD 2001 have been produced and funded through an umbrella organization called the Multi-Resolution Land Characteristics Consortium (MRLC). This Consortium consists of 13 programs across 10 Federal agencies that require landcover data for addressing their agency needs (www.mrlc.gov). MRLC provided the umbrella to coordinate multi-agency NLCD mapping production and funding contributions. In addition to NLCD data, MRLC also offers approximately 6,200 terrain corrected Landsat 5 TM and Landsat 7 Enhanced Thematic Mapper (ETM+) scenes spanning growing season dates from 1982-2006 which are available for public w…","author":[{"dropping-particle":"","family":"Homer","given":"C.","non-dropping-particle":"","parse-names":false,"suffix":""},{"dropping-particle":"","family":"Dewitz","given":"J.","non-dropping-particle":"","parse-names":false,"suffix":""},{"dropping-particle":"","family":"Fry","given":"J.","non-dropping-particle":"","parse-names":false,"suffix":""},{"dropping-particle":"","family":"Coan","given":"M.","non-dropping-particle":"","parse-names":false,"suffix":""},{"dropping-particle":"","family":"Hossain","given":"N.","non-dropping-particle":"","parse-names":false,"suffix":""},{"dropping-particle":"","family":"Larson","given":"C.","non-dropping-particle":"","parse-names":false,"suffix":""},{"dropping-particle":"","family":"Herold","given":"N.","non-dropping-particle":"","parse-names":false,"suffix":""},{"dropping-particle":"","family":"McKerrow","given":"A.","non-dropping-particle":"","parse-names":false,"suffix":""},{"dropping-particle":"","family":"VanDriel","given":"J. N.","non-dropping-particle":"","parse-names":false,"suffix":""},{"dropping-particle":"","family":"Wickham","given":"J.","non-dropping-particle":"","parse-names":false,"suffix":""}],"container-title":"Photogrammetric Engineering and Remote Sensing","id":"ITEM-1","issue":"4","issued":{"date-parts":[["2007"]]},"page":"337-341","title":"Completion of the 2001 National Land Cover Database for the counterminous United States","type":"article-journal","volume":"73"},"uris":["http://www.mendeley.com/documents/?uuid=a8b949fb-343d-41da-817d-1a6f81c0a451"]},{"id":"ITEM-2","itemData":{"DOI":"10.14358/PERS.81.5.345","ISBN":"9788578110796","ISSN":"0099-1112","abstract":"The National Land Cover Database (NLCD) provides nationwide data on land cover and land cover change at the native 30-m spatial resolution of the Landsat Thematic Mapper (TM). The database is designed to provide five-year cyclical updates of United States land cover and associated changes. The recent release of NLCD 2011 products now represents a decade of consistently produced land cover and impervious surface for the Nation across three periods: 2001, 2006, and 2011 (Homer et al., 2007; Fry et al., 2011). Tree canopy cover has also been produced for 2011 (Coluston et al., 2012; Coluston et al., 2013). With the release of NLCD 2011, the database provides the ability to move beyond simple change detection to monitoring and trend assessments. NLCD 2011 represents the latest evolution of NLCD products, continuing its focus on consistency, production, efficiency, and product accuracy. NLCD products are designed for widespread application in biology, climate, education, land management, hydrology, environmental planning, risk and disease analysis, telecommunications and visualization, and are available for no cost at http://www.mrlc.gov. NLCD is produced by a Federal agency consortium called the Multi-Resolution Land Characteristics Consortium (MRLC) (Wickham et al., 2014). In the consortium arrangement, the U.S. Geological Survey (USGS) leads NLCD land cover and imperviousness production for the bulk of the Nation; the National Oceanic and Atmospheric Administration (NOAA) completes NLCD land cover for the conterminous U.S. (CONUS) coastal zones;, and the U.S. Forest Service (USFS) designs and produces the NLCD tree canopy cover product. Other MRLC partners collaborate through resource or data contribution to ensure NLCD products meet their respective program needs (Wickham et al., 2014).","author":[{"dropping-particle":"","family":"Homer","given":"C.G.","non-dropping-particle":"","parse-names":false,"suffix":""},{"dropping-particle":"","family":"Dewitz","given":"J.A.","non-dropping-particle":"","parse-names":false,"suffix":""},{"dropping-particle":"","family":"Yang","given":"L.","non-dropping-particle":"","parse-names":false,"suffix":""},{"dropping-particle":"","family":"Jin","given":"S.","non-dropping-particle":"","parse-names":false,"suffix":""},{"dropping-particle":"","family":"Danielson","given":"P.","non-dropping-particle":"","parse-names":false,"suffix":""},{"dropping-particle":"","family":"Xian","given":"G.","non-dropping-particle":"","parse-names":false,"suffix":""},{"dropping-particle":"","family":"Coulston","given":"J.","non-dropping-particle":"","parse-names":false,"suffix":""},{"dropping-particle":"","family":"Herold","given":"N.D.","non-dropping-particle":"","parse-names":false,"suffix":""},{"dropping-particle":"","family":"Wickham","given":"J.D.","non-dropping-particle":"","parse-names":false,"suffix":""},{"dropping-particle":"","family":"Megown","given":"K.","non-dropping-particle":"","parse-names":false,"suffix":""}],"container-title":"Photogrammetric Engineering and Remote Sensing","id":"ITEM-2","issue":"5","issued":{"date-parts":[["2015"]]},"page":"345-354","title":"Completion of the 2011 National Land Cover Database for the conterminous United States-Representing a decade of land cover change information","type":"article-journal","volume":"81"},"uris":["http://www.mendeley.com/documents/?uuid=9e38976e-4c30-4579-a485-13e7d8670d33"]}],"mendeley":{"formattedCitation":"(C. Homer et al., 2007; C. G. Homer et al., 2015)","manualFormatting":"(Homer et al., 2007; Homer et al., 2015)","plainTextFormattedCitation":"(C. Homer et al., 2007; C. G. Homer et al., 2015)","previouslyFormattedCitation":"(C. Homer et al., 2007; C. G. Homer et al., 2015)"},"properties":{"noteIndex":0},"schema":"https://github.com/citation-style-language/schema/raw/master/csl-citation.json"}</w:instrText>
      </w:r>
      <w:r w:rsidRPr="00C1362F">
        <w:rPr>
          <w:rFonts w:eastAsia="Arial"/>
          <w:sz w:val="24"/>
        </w:rPr>
        <w:fldChar w:fldCharType="separate"/>
      </w:r>
      <w:r w:rsidRPr="00C1362F">
        <w:rPr>
          <w:rFonts w:eastAsia="Arial"/>
          <w:noProof/>
          <w:sz w:val="24"/>
        </w:rPr>
        <w:t>(Homer et al., 2007; Homer et al., 2015)</w:t>
      </w:r>
      <w:r w:rsidRPr="00C1362F">
        <w:rPr>
          <w:rFonts w:eastAsia="Arial"/>
          <w:sz w:val="24"/>
        </w:rPr>
        <w:fldChar w:fldCharType="end"/>
      </w:r>
      <w:r w:rsidRPr="00C1362F">
        <w:rPr>
          <w:rFonts w:eastAsia="Arial"/>
          <w:sz w:val="24"/>
        </w:rPr>
        <w:t>. We then screened the identified sites to include only those dominated by grass coverage (</w:t>
      </w:r>
      <m:oMath>
        <m:r>
          <w:rPr>
            <w:rFonts w:ascii="Cambria Math" w:eastAsia="Arial" w:hAnsi="Cambria Math"/>
            <w:sz w:val="24"/>
          </w:rPr>
          <m:t>≥</m:t>
        </m:r>
      </m:oMath>
      <w:r w:rsidRPr="00C1362F">
        <w:rPr>
          <w:rFonts w:eastAsia="Arial"/>
          <w:sz w:val="24"/>
        </w:rPr>
        <w:t xml:space="preserve"> 50%)</w:t>
      </w:r>
      <w:r>
        <w:rPr>
          <w:rFonts w:eastAsia="Arial"/>
          <w:sz w:val="24"/>
        </w:rPr>
        <w:t xml:space="preserve"> by surveying p</w:t>
      </w:r>
      <w:r w:rsidRPr="00C1362F">
        <w:rPr>
          <w:rFonts w:eastAsia="Arial"/>
          <w:sz w:val="24"/>
        </w:rPr>
        <w:t xml:space="preserve">ublications associated with the flux tower datasets, </w:t>
      </w:r>
      <w:r>
        <w:rPr>
          <w:rFonts w:eastAsia="Arial"/>
          <w:sz w:val="24"/>
        </w:rPr>
        <w:t xml:space="preserve">examining </w:t>
      </w:r>
      <w:r w:rsidRPr="00C1362F">
        <w:rPr>
          <w:rFonts w:eastAsia="Arial"/>
          <w:sz w:val="24"/>
        </w:rPr>
        <w:t xml:space="preserve">Phenocam images </w:t>
      </w:r>
      <w:r w:rsidRPr="00C1362F">
        <w:rPr>
          <w:rFonts w:eastAsia="Arial"/>
          <w:sz w:val="24"/>
        </w:rPr>
        <w:fldChar w:fldCharType="begin" w:fldLock="1"/>
      </w:r>
      <w:r w:rsidRPr="00C1362F">
        <w:rPr>
          <w:rFonts w:eastAsia="Arial"/>
          <w:sz w:val="24"/>
        </w:rPr>
        <w:instrText>ADDIN CSL_CITATION {"citationItems":[{"id":"ITEM-1","itemData":{"DOI":"10.1002/fee.1222","ISSN":"15409309","abstract":"Rapid changes to the biosphere are altering ecological processes worldwide. Developing informed policies for mitigating the impacts of environmental change requires an exponential increase in the quantity, diversity, and resolution of field-collected data, which, in turn, necessitates greater reliance on innovative technologies to monitor ecological processes across local to global scales. Automated digital time-lapse cameras - \"phenocams\" - can monitor vegetation status and environmental changes over long periods of time. Phenocams are ideal for documenting changes in phenology, snow cover, fire frequency, and other disturbance events. However, effective monitoring of global environmental change with phenocams requires adoption of data standards. New continental-scale ecological research networks, such as the US National Ecological Observatory Network (NEON) and the European Union's Integrated Carbon Observation System (ICOS), can serve as templates for developing rigorous data standards and extending the utility of phenocam data through standardized ground-truthing. Open-source tools for analysis, visualization, and collaboration will make phenocam data more widely usable.","author":[{"dropping-particle":"","family":"Brown","given":"Tim B.","non-dropping-particle":"","parse-names":false,"suffix":""},{"dropping-particle":"","family":"Hultine","given":"Kevin R.","non-dropping-particle":"","parse-names":false,"suffix":""},{"dropping-particle":"","family":"Steltzer","given":"Heidi","non-dropping-particle":"","parse-names":false,"suffix":""},{"dropping-particle":"","family":"Denny","given":"Ellen G.","non-dropping-particle":"","parse-names":false,"suffix":""},{"dropping-particle":"","family":"Denslow","given":"Michael W.","non-dropping-particle":"","parse-names":false,"suffix":""},{"dropping-particle":"","family":"Granados","given":"Joel","non-dropping-particle":"","parse-names":false,"suffix":""},{"dropping-particle":"","family":"Henderson","given":"Sandra","non-dropping-particle":"","parse-names":false,"suffix":""},{"dropping-particle":"","family":"Moore","given":"David","non-dropping-particle":"","parse-names":false,"suffix":""},{"dropping-particle":"","family":"Nagai","given":"Shin","non-dropping-particle":"","parse-names":false,"suffix":""},{"dropping-particle":"","family":"Sanclements","given":"Michael","non-dropping-particle":"","parse-names":false,"suffix":""},{"dropping-particle":"","family":"Sánchez-Azofeifa","given":"Arturo","non-dropping-particle":"","parse-names":false,"suffix":""},{"dropping-particle":"","family":"Sonnentag","given":"Oliver","non-dropping-particle":"","parse-names":false,"suffix":""},{"dropping-particle":"","family":"Tazik","given":"David","non-dropping-particle":"","parse-names":false,"suffix":""},{"dropping-particle":"","family":"Richardson","given":"Andrew D.","non-dropping-particle":"","parse-names":false,"suffix":""}],"container-title":"Frontiers in Ecology and the Environment","id":"ITEM-1","issue":"2","issued":{"date-parts":[["2016"]]},"page":"84-93","title":"Using phenocams to monitor our changing earth: Toward a global phenocam network","type":"article-journal","volume":"14"},"uris":["http://www.mendeley.com/documents/?uuid=ccf5a4ca-cd96-4b6b-b681-6e824df01ef3"]}],"mendeley":{"formattedCitation":"(Brown et al., 2016)","plainTextFormattedCitation":"(Brown et al., 2016)","previouslyFormattedCitation":"(Brown et al., 2016)"},"properties":{"noteIndex":0},"schema":"https://github.com/citation-style-language/schema/raw/master/csl-citation.json"}</w:instrText>
      </w:r>
      <w:r w:rsidRPr="00C1362F">
        <w:rPr>
          <w:rFonts w:eastAsia="Arial"/>
          <w:sz w:val="24"/>
        </w:rPr>
        <w:fldChar w:fldCharType="separate"/>
      </w:r>
      <w:r w:rsidRPr="00C1362F">
        <w:rPr>
          <w:rFonts w:eastAsia="Arial"/>
          <w:noProof/>
          <w:sz w:val="24"/>
        </w:rPr>
        <w:t>(Brown et al., 2016)</w:t>
      </w:r>
      <w:r w:rsidRPr="00C1362F">
        <w:rPr>
          <w:rFonts w:eastAsia="Arial"/>
          <w:sz w:val="24"/>
        </w:rPr>
        <w:fldChar w:fldCharType="end"/>
      </w:r>
      <w:r w:rsidRPr="00C1362F">
        <w:rPr>
          <w:rFonts w:eastAsia="Arial"/>
          <w:sz w:val="24"/>
        </w:rPr>
        <w:t xml:space="preserve"> or online photos</w:t>
      </w:r>
      <w:r>
        <w:rPr>
          <w:rFonts w:eastAsia="Arial"/>
          <w:sz w:val="24"/>
        </w:rPr>
        <w:t>, and by</w:t>
      </w:r>
      <w:r w:rsidRPr="00C1362F">
        <w:rPr>
          <w:rFonts w:eastAsia="Arial"/>
          <w:sz w:val="24"/>
        </w:rPr>
        <w:t xml:space="preserve"> reach</w:t>
      </w:r>
      <w:r>
        <w:rPr>
          <w:rFonts w:eastAsia="Arial"/>
          <w:sz w:val="24"/>
        </w:rPr>
        <w:t>ing</w:t>
      </w:r>
      <w:r w:rsidRPr="00C1362F">
        <w:rPr>
          <w:rFonts w:eastAsia="Arial"/>
          <w:sz w:val="24"/>
        </w:rPr>
        <w:t xml:space="preserve"> out to </w:t>
      </w:r>
      <w:r>
        <w:rPr>
          <w:rFonts w:eastAsia="Arial"/>
          <w:sz w:val="24"/>
        </w:rPr>
        <w:t xml:space="preserve">tower </w:t>
      </w:r>
      <w:r w:rsidRPr="00C1362F">
        <w:rPr>
          <w:rFonts w:eastAsia="Arial"/>
          <w:sz w:val="24"/>
        </w:rPr>
        <w:t xml:space="preserve">principal investigators (PIs) </w:t>
      </w:r>
      <w:r>
        <w:rPr>
          <w:rFonts w:eastAsia="Arial"/>
          <w:sz w:val="24"/>
        </w:rPr>
        <w:t>for confirmation</w:t>
      </w:r>
      <w:r w:rsidRPr="00C1362F">
        <w:rPr>
          <w:rFonts w:eastAsia="Arial"/>
          <w:sz w:val="24"/>
        </w:rPr>
        <w:t xml:space="preserve">. The retained </w:t>
      </w:r>
      <w:r>
        <w:rPr>
          <w:rFonts w:eastAsia="Arial"/>
          <w:sz w:val="24"/>
        </w:rPr>
        <w:t xml:space="preserve">61 </w:t>
      </w:r>
      <w:r w:rsidRPr="00C1362F">
        <w:rPr>
          <w:rFonts w:eastAsia="Arial"/>
          <w:sz w:val="24"/>
        </w:rPr>
        <w:t xml:space="preserve">sites were then categorized into four different </w:t>
      </w:r>
      <w:r>
        <w:rPr>
          <w:rFonts w:eastAsia="Arial"/>
          <w:sz w:val="24"/>
        </w:rPr>
        <w:t>vegetation types:</w:t>
      </w:r>
      <w:r w:rsidRPr="00C1362F">
        <w:rPr>
          <w:rFonts w:eastAsia="Arial"/>
          <w:sz w:val="24"/>
        </w:rPr>
        <w:t xml:space="preserve"> (1) perennial and/or annual </w:t>
      </w:r>
      <w:r>
        <w:rPr>
          <w:rFonts w:eastAsia="Arial"/>
          <w:sz w:val="24"/>
        </w:rPr>
        <w:t>grass;</w:t>
      </w:r>
      <w:r w:rsidRPr="00C1362F">
        <w:rPr>
          <w:rFonts w:eastAsia="Arial"/>
          <w:sz w:val="24"/>
        </w:rPr>
        <w:t xml:space="preserve"> (2) managed hay and pasture</w:t>
      </w:r>
      <w:r>
        <w:rPr>
          <w:rFonts w:eastAsia="Arial"/>
          <w:sz w:val="24"/>
        </w:rPr>
        <w:t>;</w:t>
      </w:r>
      <w:r w:rsidRPr="00C1362F">
        <w:rPr>
          <w:rFonts w:eastAsia="Arial"/>
          <w:sz w:val="24"/>
        </w:rPr>
        <w:t xml:space="preserve"> (3) grass-shrub mixture</w:t>
      </w:r>
      <w:r>
        <w:rPr>
          <w:rFonts w:eastAsia="Arial"/>
          <w:sz w:val="24"/>
        </w:rPr>
        <w:t>;</w:t>
      </w:r>
      <w:r w:rsidRPr="00C1362F">
        <w:rPr>
          <w:rFonts w:eastAsia="Arial"/>
          <w:sz w:val="24"/>
        </w:rPr>
        <w:t xml:space="preserve"> (4) grass-tree mixture</w:t>
      </w:r>
      <w:r>
        <w:rPr>
          <w:rFonts w:eastAsia="Arial"/>
          <w:sz w:val="24"/>
        </w:rPr>
        <w:t>.</w:t>
      </w:r>
      <w:r w:rsidRPr="00C1362F">
        <w:rPr>
          <w:rFonts w:eastAsia="Arial"/>
          <w:sz w:val="24"/>
        </w:rPr>
        <w:t xml:space="preserve"> </w:t>
      </w:r>
      <w:r>
        <w:rPr>
          <w:rFonts w:eastAsia="Arial"/>
          <w:sz w:val="24"/>
        </w:rPr>
        <w:t xml:space="preserve">The classification was determined using </w:t>
      </w:r>
      <w:r w:rsidRPr="00C1362F">
        <w:rPr>
          <w:rFonts w:eastAsia="Arial"/>
          <w:sz w:val="24"/>
        </w:rPr>
        <w:t xml:space="preserve">land cover information extracted from </w:t>
      </w:r>
      <w:r>
        <w:rPr>
          <w:rFonts w:eastAsia="Arial"/>
          <w:sz w:val="24"/>
        </w:rPr>
        <w:t xml:space="preserve">the </w:t>
      </w:r>
      <w:r w:rsidRPr="00C1362F">
        <w:rPr>
          <w:rFonts w:eastAsia="Arial"/>
          <w:sz w:val="24"/>
        </w:rPr>
        <w:t xml:space="preserve">NLCD and Rangeland Analysis Platform (RAP) </w:t>
      </w:r>
      <w:r w:rsidRPr="00C1362F">
        <w:rPr>
          <w:rFonts w:eastAsia="Arial"/>
          <w:sz w:val="24"/>
        </w:rPr>
        <w:fldChar w:fldCharType="begin" w:fldLock="1"/>
      </w:r>
      <w:r w:rsidRPr="00C1362F">
        <w:rPr>
          <w:rFonts w:eastAsia="Arial"/>
          <w:sz w:val="24"/>
        </w:rPr>
        <w:instrText>ADDIN CSL_CITATION {"citationItems":[{"id":"ITEM-1","itemData":{"DOI":"10.1002/ecs2.2430","ISSN":"21508925","abstract":"Innovations in machine learning and cloud-based computing were merged with historical remote sensing and field data to provide the first moderate resolution, annual, percent cover maps of plant functional types across rangeland ecosystems to effectively and efficiently respond to pressing challenges facing conservation of biodiversity and ecosystem services. We utilized the historical Landsat satellite record, gridded meteorology, abiotic land surface data, and over 30,000 field plots within a Random Forests model to predict per-pixel percent cover of annual forbs and grasses, perennial forbs and grasses, shrubs, and bare ground over the western United States from 1984 to 2017. Results were validated using three independent collections of plot-level measurements, and resulting maps display land cover variation in response to changes in climate, disturbance, and management. The maps, which will be updated annually at the end of each year, provide exciting opportunities to expand and improve rangeland conservation, monitoring, and management. The data open new doors for scientific investigation at an unprecedented blend of temporal fidelity, spatial resolution, and geographic scale.","author":[{"dropping-particle":"","family":"Jones","given":"Matthew O.","non-dropping-particle":"","parse-names":false,"suffix":""},{"dropping-particle":"","family":"Allred","given":"Brady W.","non-dropping-particle":"","parse-names":false,"suffix":""},{"dropping-particle":"","family":"Naugle","given":"David E.","non-dropping-particle":"","parse-names":false,"suffix":""},{"dropping-particle":"","family":"Maestas","given":"Jeremy D.","non-dropping-particle":"","parse-names":false,"suffix":""},{"dropping-particle":"","family":"Donnelly","given":"Patrick","non-dropping-particle":"","parse-names":false,"suffix":""},{"dropping-particle":"","family":"Metz","given":"Loretta J.","non-dropping-particle":"","parse-names":false,"suffix":""},{"dropping-particle":"","family":"Karl","given":"Jason","non-dropping-particle":"","parse-names":false,"suffix":""},{"dropping-particle":"","family":"Smith","given":"Rob","non-dropping-particle":"","parse-names":false,"suffix":""},{"dropping-particle":"","family":"Bestelmeyer","given":"Brandon","non-dropping-particle":"","parse-names":false,"suffix":""},{"dropping-particle":"","family":"Boyd","given":"Chad","non-dropping-particle":"","parse-names":false,"suffix":""},{"dropping-particle":"","family":"Kerby","given":"Jay D.","non-dropping-particle":"","parse-names":false,"suffix":""},{"dropping-particle":"","family":"McIver","given":"James D.","non-dropping-particle":"","parse-names":false,"suffix":""}],"container-title":"Ecosphere","id":"ITEM-1","issued":{"date-parts":[["2018"]]},"page":"e02430","title":"Innovation in rangeland monitoring: annual, 30 m, plant functional type percent cover maps for U.S. rangelands, 1984–2017","type":"article-journal","volume":"9"},"uris":["http://www.mendeley.com/documents/?uuid=7add7dbe-0202-42ed-a08f-0e267b089b1a"]}],"mendeley":{"formattedCitation":"(M. O. Jones et al., 2018)","manualFormatting":"(Jones et al., 2018)","plainTextFormattedCitation":"(M. O. Jones et al., 2018)","previouslyFormattedCitation":"(M. O. Jones et al., 2018)"},"properties":{"noteIndex":0},"schema":"https://github.com/citation-style-language/schema/raw/master/csl-citation.json"}</w:instrText>
      </w:r>
      <w:r w:rsidRPr="00C1362F">
        <w:rPr>
          <w:rFonts w:eastAsia="Arial"/>
          <w:sz w:val="24"/>
        </w:rPr>
        <w:fldChar w:fldCharType="separate"/>
      </w:r>
      <w:r w:rsidRPr="00C1362F">
        <w:rPr>
          <w:rFonts w:eastAsia="Arial"/>
          <w:noProof/>
          <w:sz w:val="24"/>
        </w:rPr>
        <w:t>(Jones et al., 2018)</w:t>
      </w:r>
      <w:r w:rsidRPr="00C1362F">
        <w:rPr>
          <w:rFonts w:eastAsia="Arial"/>
          <w:sz w:val="24"/>
        </w:rPr>
        <w:fldChar w:fldCharType="end"/>
      </w:r>
      <w:r w:rsidRPr="00C1362F">
        <w:rPr>
          <w:rFonts w:eastAsia="Arial"/>
          <w:sz w:val="24"/>
        </w:rPr>
        <w:t xml:space="preserve"> </w:t>
      </w:r>
      <w:r>
        <w:rPr>
          <w:rFonts w:eastAsia="Arial"/>
          <w:sz w:val="24"/>
        </w:rPr>
        <w:t>supplemented with</w:t>
      </w:r>
      <w:r w:rsidRPr="00C1362F">
        <w:rPr>
          <w:rFonts w:eastAsia="Arial"/>
          <w:sz w:val="24"/>
        </w:rPr>
        <w:t xml:space="preserve"> literature and PI-provided site information. </w:t>
      </w:r>
      <w:r>
        <w:rPr>
          <w:rFonts w:eastAsia="Arial"/>
          <w:sz w:val="24"/>
        </w:rPr>
        <w:t xml:space="preserve">Sites included in class (2) differ from native grasslands in that the sites are being actively managed meaning some combination of sown grass species, irrigation, and fertilization. </w:t>
      </w:r>
      <w:r w:rsidRPr="00C1362F">
        <w:rPr>
          <w:rFonts w:eastAsia="Arial"/>
          <w:sz w:val="24"/>
        </w:rPr>
        <w:t xml:space="preserve">The coverage threshold for shrubs and trees </w:t>
      </w:r>
      <w:r>
        <w:rPr>
          <w:rFonts w:eastAsia="Arial"/>
          <w:sz w:val="24"/>
        </w:rPr>
        <w:t>was</w:t>
      </w:r>
      <w:r w:rsidRPr="00C1362F">
        <w:rPr>
          <w:rFonts w:eastAsia="Arial"/>
          <w:sz w:val="24"/>
        </w:rPr>
        <w:t xml:space="preserve"> set at 30</w:t>
      </w:r>
      <w:r>
        <w:rPr>
          <w:rFonts w:eastAsia="Arial"/>
          <w:sz w:val="24"/>
        </w:rPr>
        <w:t xml:space="preserve">% </w:t>
      </w:r>
      <w:r w:rsidRPr="00C1362F">
        <w:rPr>
          <w:rFonts w:eastAsia="Arial"/>
          <w:sz w:val="24"/>
        </w:rPr>
        <w:t>for classes (3) and (4). Additional details regarding the Ameriflux and NEON sites can be found in SI: Appendix B.</w:t>
      </w:r>
    </w:p>
    <w:p w14:paraId="7E0CFBB6" w14:textId="77777777" w:rsidR="00F25462" w:rsidRPr="00C1362F" w:rsidRDefault="00F25462" w:rsidP="00F25462">
      <w:pPr>
        <w:spacing w:before="120"/>
        <w:jc w:val="center"/>
        <w:rPr>
          <w:rFonts w:eastAsia="Arial"/>
          <w:sz w:val="24"/>
        </w:rPr>
      </w:pPr>
      <w:r w:rsidRPr="00C1362F">
        <w:rPr>
          <w:rFonts w:eastAsia="Arial"/>
          <w:noProof/>
          <w:sz w:val="24"/>
        </w:rPr>
        <w:drawing>
          <wp:inline distT="0" distB="0" distL="0" distR="0" wp14:anchorId="2B1C110A" wp14:editId="6C6D8303">
            <wp:extent cx="4457592" cy="3328967"/>
            <wp:effectExtent l="0" t="0" r="635" b="5080"/>
            <wp:docPr id="771716533" name="Picture 1" descr="A map of the united stat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1716533" name="Picture 1" descr="A map of the united states&#10;&#10;Description automatically generated"/>
                    <pic:cNvPicPr>
                      <a:picLocks noChangeAspect="1" noChangeArrowheads="1"/>
                    </pic:cNvPicPr>
                  </pic:nvPicPr>
                  <pic:blipFill rotWithShape="1">
                    <a:blip r:embed="rId11">
                      <a:extLst>
                        <a:ext uri="{28A0092B-C50C-407E-A947-70E740481C1C}">
                          <a14:useLocalDpi xmlns:a14="http://schemas.microsoft.com/office/drawing/2010/main"/>
                        </a:ext>
                      </a:extLst>
                    </a:blip>
                    <a:srcRect/>
                    <a:stretch/>
                  </pic:blipFill>
                  <pic:spPr bwMode="auto">
                    <a:xfrm>
                      <a:off x="0" y="0"/>
                      <a:ext cx="4521172" cy="3376449"/>
                    </a:xfrm>
                    <a:prstGeom prst="rect">
                      <a:avLst/>
                    </a:prstGeom>
                    <a:noFill/>
                    <a:ln>
                      <a:noFill/>
                    </a:ln>
                    <a:extLst>
                      <a:ext uri="{53640926-AAD7-44D8-BBD7-CCE9431645EC}">
                        <a14:shadowObscured xmlns:a14="http://schemas.microsoft.com/office/drawing/2010/main"/>
                      </a:ext>
                    </a:extLst>
                  </pic:spPr>
                </pic:pic>
              </a:graphicData>
            </a:graphic>
          </wp:inline>
        </w:drawing>
      </w:r>
    </w:p>
    <w:p w14:paraId="5321734C" w14:textId="77777777" w:rsidR="00F25462" w:rsidRPr="00C1362F" w:rsidRDefault="00F25462" w:rsidP="00E77D36">
      <w:pPr>
        <w:spacing w:before="240"/>
        <w:jc w:val="both"/>
        <w:rPr>
          <w:rFonts w:eastAsia="Arial"/>
          <w:sz w:val="24"/>
        </w:rPr>
      </w:pPr>
      <w:r w:rsidRPr="00C1362F">
        <w:rPr>
          <w:rFonts w:eastAsia="Arial"/>
          <w:b/>
          <w:bCs/>
          <w:sz w:val="24"/>
        </w:rPr>
        <w:t>Figure 2.</w:t>
      </w:r>
      <w:r w:rsidRPr="00C1362F">
        <w:rPr>
          <w:rFonts w:eastAsia="Arial"/>
          <w:sz w:val="24"/>
        </w:rPr>
        <w:t xml:space="preserve"> Ameriflux and National Ecological Observatory Network (NEON) sites selected for model calibration and validation. The sites are divided into different groups based on data availability. Different USDA agricultural regions are </w:t>
      </w:r>
      <w:r>
        <w:rPr>
          <w:rFonts w:eastAsia="Arial"/>
          <w:sz w:val="24"/>
        </w:rPr>
        <w:t xml:space="preserve">delineated by thick </w:t>
      </w:r>
      <w:r w:rsidRPr="00C1362F">
        <w:rPr>
          <w:rFonts w:eastAsia="Arial"/>
          <w:sz w:val="24"/>
        </w:rPr>
        <w:t xml:space="preserve">black </w:t>
      </w:r>
      <w:r>
        <w:rPr>
          <w:rFonts w:eastAsia="Arial"/>
          <w:sz w:val="24"/>
        </w:rPr>
        <w:t>lines</w:t>
      </w:r>
      <w:r w:rsidRPr="00C1362F">
        <w:rPr>
          <w:rFonts w:eastAsia="Arial"/>
          <w:sz w:val="24"/>
        </w:rPr>
        <w:t>, and different land use types are color-coded according to the National Land Cover Database (NLCD) dataset.</w:t>
      </w:r>
    </w:p>
    <w:p w14:paraId="4550FFF4" w14:textId="77777777" w:rsidR="00F25462" w:rsidRPr="00C1362F" w:rsidRDefault="00F25462" w:rsidP="00F25462">
      <w:pPr>
        <w:spacing w:before="120"/>
        <w:jc w:val="both"/>
        <w:rPr>
          <w:rFonts w:eastAsia="Arial"/>
          <w:sz w:val="24"/>
        </w:rPr>
      </w:pPr>
    </w:p>
    <w:p w14:paraId="4F780935" w14:textId="77777777" w:rsidR="00F25462" w:rsidRDefault="00F25462" w:rsidP="00F25462">
      <w:pPr>
        <w:spacing w:before="120"/>
        <w:ind w:firstLine="720"/>
        <w:jc w:val="both"/>
        <w:rPr>
          <w:rFonts w:eastAsia="Arial"/>
          <w:sz w:val="24"/>
        </w:rPr>
      </w:pPr>
      <w:r w:rsidRPr="00C1362F">
        <w:rPr>
          <w:rFonts w:eastAsia="Arial"/>
          <w:sz w:val="24"/>
        </w:rPr>
        <w:lastRenderedPageBreak/>
        <w:t xml:space="preserve">We acquired flux </w:t>
      </w:r>
      <w:r>
        <w:rPr>
          <w:rFonts w:eastAsia="Arial"/>
          <w:sz w:val="24"/>
        </w:rPr>
        <w:t>observations</w:t>
      </w:r>
      <w:r w:rsidRPr="00C1362F">
        <w:rPr>
          <w:rFonts w:eastAsia="Arial"/>
          <w:sz w:val="24"/>
        </w:rPr>
        <w:t xml:space="preserve"> and </w:t>
      </w:r>
      <w:r>
        <w:rPr>
          <w:rFonts w:eastAsia="Arial"/>
          <w:sz w:val="24"/>
        </w:rPr>
        <w:t xml:space="preserve">environmental variable </w:t>
      </w:r>
      <w:r w:rsidRPr="00C1362F">
        <w:rPr>
          <w:rFonts w:eastAsia="Arial"/>
          <w:sz w:val="24"/>
        </w:rPr>
        <w:t>datasets for the retained Ameriflux and NEON sites, either from the online portal (</w:t>
      </w:r>
      <w:hyperlink r:id="rId12" w:history="1">
        <w:r w:rsidRPr="00C1362F">
          <w:rPr>
            <w:rStyle w:val="Hyperlink"/>
            <w:rFonts w:eastAsia="Arial"/>
            <w:sz w:val="24"/>
          </w:rPr>
          <w:t>https://ameriflux.lbl.gov/</w:t>
        </w:r>
      </w:hyperlink>
      <w:r w:rsidRPr="00C1362F">
        <w:rPr>
          <w:rFonts w:eastAsia="Arial"/>
          <w:sz w:val="24"/>
        </w:rPr>
        <w:t xml:space="preserve">) or directly from flux tower PIs. We also documented site location, soil and vegetation type, flux tower height, data coverage, and </w:t>
      </w:r>
      <w:r>
        <w:rPr>
          <w:rFonts w:eastAsia="Arial"/>
          <w:sz w:val="24"/>
        </w:rPr>
        <w:t>variable</w:t>
      </w:r>
      <w:r w:rsidRPr="00C1362F">
        <w:rPr>
          <w:rFonts w:eastAsia="Arial"/>
          <w:sz w:val="24"/>
        </w:rPr>
        <w:t xml:space="preserve"> availability for each site (</w:t>
      </w:r>
      <w:r>
        <w:rPr>
          <w:rFonts w:eastAsia="Arial"/>
          <w:sz w:val="24"/>
        </w:rPr>
        <w:t xml:space="preserve">SI: </w:t>
      </w:r>
      <w:r w:rsidRPr="00C1362F">
        <w:rPr>
          <w:rFonts w:eastAsia="Arial"/>
          <w:sz w:val="24"/>
        </w:rPr>
        <w:t>Table B1). Based on data availability, the sites were further divided into three categories (Fig. 2): (1) those that include NEE</w:t>
      </w:r>
      <w:r w:rsidRPr="002E3534">
        <w:rPr>
          <w:rFonts w:eastAsia="Arial"/>
          <w:sz w:val="24"/>
        </w:rPr>
        <w:t xml:space="preserve"> </w:t>
      </w:r>
      <w:r w:rsidRPr="00C1362F">
        <w:rPr>
          <w:rFonts w:eastAsia="Arial"/>
          <w:sz w:val="24"/>
        </w:rPr>
        <w:t>measurements</w:t>
      </w:r>
      <w:r>
        <w:rPr>
          <w:rFonts w:eastAsia="Arial"/>
          <w:sz w:val="24"/>
        </w:rPr>
        <w:t xml:space="preserve"> only</w:t>
      </w:r>
      <w:r w:rsidRPr="00C1362F">
        <w:rPr>
          <w:rFonts w:eastAsia="Arial"/>
          <w:sz w:val="24"/>
        </w:rPr>
        <w:t xml:space="preserve">, (2) those that include both NEE and </w:t>
      </w:r>
      <w:r>
        <w:rPr>
          <w:rFonts w:eastAsia="Arial"/>
          <w:sz w:val="24"/>
        </w:rPr>
        <w:t>model-partitioned</w:t>
      </w:r>
      <w:r w:rsidRPr="00C1362F">
        <w:rPr>
          <w:rFonts w:eastAsia="Arial"/>
          <w:sz w:val="24"/>
        </w:rPr>
        <w:t xml:space="preserve"> GPP</w:t>
      </w:r>
      <w:r>
        <w:rPr>
          <w:rFonts w:eastAsia="Arial"/>
          <w:sz w:val="24"/>
        </w:rPr>
        <w:t xml:space="preserve"> and RECO</w:t>
      </w:r>
      <w:r w:rsidRPr="00C1362F">
        <w:rPr>
          <w:rFonts w:eastAsia="Arial"/>
          <w:sz w:val="24"/>
        </w:rPr>
        <w:t xml:space="preserve"> data, and (3) those that belong to the NEON network and therefore have not only NEE and GPP</w:t>
      </w:r>
      <w:r>
        <w:rPr>
          <w:rFonts w:eastAsia="Arial"/>
          <w:sz w:val="24"/>
        </w:rPr>
        <w:t>/RECO</w:t>
      </w:r>
      <w:r w:rsidRPr="00C1362F">
        <w:rPr>
          <w:rFonts w:eastAsia="Arial"/>
          <w:sz w:val="24"/>
        </w:rPr>
        <w:t xml:space="preserve"> data but also SOC measurements </w:t>
      </w:r>
      <w:r w:rsidRPr="00C1362F">
        <w:rPr>
          <w:rFonts w:eastAsia="Arial"/>
          <w:sz w:val="24"/>
        </w:rPr>
        <w:fldChar w:fldCharType="begin" w:fldLock="1"/>
      </w:r>
      <w:r w:rsidRPr="00C1362F">
        <w:rPr>
          <w:rFonts w:eastAsia="Arial"/>
          <w:sz w:val="24"/>
        </w:rPr>
        <w:instrText>ADDIN CSL_CITATION {"citationItems":[{"id":"ITEM-1","itemData":{"DOI":"10.1002/ecs2.1234","ISSN":"21508925","abstract":"Human impacts on biogeochemical cycles are evident around the world, from changes to forest structure and function due to atmospheric deposition, to eutrophication of surface waters from agricultural effluent, and increasing concentrations of carbon dioxide (CO2) in the atmosphere. The National Ecological Observatory Network (NEON) will contribute to understanding human effects on biogeochemical cycles from local to continental scales. The broad NEON biogeochemistry measurement design focuses on measuring atmospheric deposition of reactive mineral compounds and CO2 fluxes, ecosystem carbon (C) and nutrient stocks, and surface water chemistry across 20 eco-climatic domains within the United States for 30 yr. Herein, we present the rationale and plan for the ground-based measurements of C and nutrients in soils and plants based on overarching or \"high-level\" requirements agreed upon by the National Science Foundation and NEON. The resulting design incorporates early recommendations by expert review teams, as well as recent input from the larger natural sciences community that went into the formation and interpretation of the requirements, respectively. NEON's efforts will focus on a suite of data streams that will enable end-users to study and predict changes to biogeochemical cycling and transfers within and across air, land, and water systems at regional to continental scales. At each NEON site, there will be an initial, one-time effort to survey soil properties to 1 m (including soil texture, bulk density, pH, baseline chemistry) and vegetation community structure and diversity. A sampling program will follow, focused on capturing long-term trends in soil C, nitrogen (N), and sulfur stocks, isotopic composition (of C and N), soil N transformation rates, phosphorus pools, and plant tissue chemistry and isotopic composition (of C and N). To this end, NEON will conduct extensive measurements of soils and plants within stratified random plots distributed across each site. The resulting data will be a new resource for members of the scientific community interested in addressing questions about long-term changes in continentalscale biogeochemical cycles, and is predicted to inspire further process-based research.","author":[{"dropping-particle":"","family":"Hinckley","given":"Eve Lyn S.","non-dropping-particle":"","parse-names":false,"suffix":""},{"dropping-particle":"","family":"Bonan","given":"Gordon B.","non-dropping-particle":"","parse-names":false,"suffix":""},{"dropping-particle":"","family":"Bowen","given":"Gabriel J.","non-dropping-particle":"","parse-names":false,"suffix":""},{"dropping-particle":"","family":"Colman","given":"Benjamin P.","non-dropping-particle":"","parse-names":false,"suffix":""},{"dropping-particle":"","family":"Duffy","given":"Paul A.","non-dropping-particle":"","parse-names":false,"suffix":""},{"dropping-particle":"","family":"Goodale","given":"Christine L.","non-dropping-particle":"","parse-names":false,"suffix":""},{"dropping-particle":"","family":"Houlton","given":"Benjamin Z.","non-dropping-particle":"","parse-names":false,"suffix":""},{"dropping-particle":"","family":"Marí-Spiotta","given":"Erika","non-dropping-particle":"","parse-names":false,"suffix":""},{"dropping-particle":"","family":"Ogle","given":"Kiona","non-dropping-particle":"","parse-names":false,"suffix":""},{"dropping-particle":"V.","family":"Ollinger","given":"Scott","non-dropping-particle":"","parse-names":false,"suffix":""},{"dropping-particle":"","family":"Paul","given":"Eldor A.","non-dropping-particle":"","parse-names":false,"suffix":""},{"dropping-particle":"","family":"Vitousek","given":"Peter M.","non-dropping-particle":"","parse-names":false,"suffix":""},{"dropping-particle":"","family":"Weathers","given":"Kathleen C.","non-dropping-particle":"","parse-names":false,"suffix":""},{"dropping-particle":"","family":"Williams","given":"David G.","non-dropping-particle":"","parse-names":false,"suffix":""}],"container-title":"Ecosphere","id":"ITEM-1","issue":"3","issued":{"date-parts":[["2016"]]},"page":"e01234","title":"The soil and plant biogeochemistry sampling design for the National Ecological Observatory Network","type":"article-journal","volume":"7"},"uris":["http://www.mendeley.com/documents/?uuid=c1bd8449-c747-4959-b4f1-af91374c6123"]}],"mendeley":{"formattedCitation":"(Hinckley et al., 2016)","plainTextFormattedCitation":"(Hinckley et al., 2016)","previouslyFormattedCitation":"(Hinckley et al., 2016)"},"properties":{"noteIndex":0},"schema":"https://github.com/citation-style-language/schema/raw/master/csl-citation.json"}</w:instrText>
      </w:r>
      <w:r w:rsidRPr="00C1362F">
        <w:rPr>
          <w:rFonts w:eastAsia="Arial"/>
          <w:sz w:val="24"/>
        </w:rPr>
        <w:fldChar w:fldCharType="separate"/>
      </w:r>
      <w:r w:rsidRPr="00C1362F">
        <w:rPr>
          <w:rFonts w:eastAsia="Arial"/>
          <w:noProof/>
          <w:sz w:val="24"/>
        </w:rPr>
        <w:t>(Hinckley et al., 2016)</w:t>
      </w:r>
      <w:r w:rsidRPr="00C1362F">
        <w:rPr>
          <w:rFonts w:eastAsia="Arial"/>
          <w:sz w:val="24"/>
        </w:rPr>
        <w:fldChar w:fldCharType="end"/>
      </w:r>
      <w:r w:rsidRPr="00C1362F">
        <w:rPr>
          <w:rFonts w:eastAsia="Arial"/>
          <w:sz w:val="24"/>
        </w:rPr>
        <w:t xml:space="preserve">. In some cases, tower PIs expressed concerns about the quality of GPP data due to </w:t>
      </w:r>
      <w:r>
        <w:rPr>
          <w:rFonts w:eastAsia="Arial"/>
          <w:sz w:val="24"/>
        </w:rPr>
        <w:t xml:space="preserve">flux </w:t>
      </w:r>
      <w:r w:rsidRPr="00C1362F">
        <w:rPr>
          <w:rFonts w:eastAsia="Arial"/>
          <w:sz w:val="24"/>
        </w:rPr>
        <w:t>partitioning issues</w:t>
      </w:r>
      <w:r>
        <w:rPr>
          <w:rFonts w:eastAsia="Arial"/>
          <w:sz w:val="24"/>
        </w:rPr>
        <w:t xml:space="preserve"> </w:t>
      </w:r>
      <w:r>
        <w:rPr>
          <w:rFonts w:eastAsia="Arial"/>
          <w:sz w:val="24"/>
        </w:rPr>
        <w:fldChar w:fldCharType="begin" w:fldLock="1"/>
      </w:r>
      <w:r>
        <w:rPr>
          <w:rFonts w:eastAsia="Arial"/>
          <w:sz w:val="24"/>
        </w:rPr>
        <w:instrText>ADDIN CSL_CITATION {"citationItems":[{"id":"ITEM-1","itemData":{"DOI":"10.1016/j.agrformet.2016.06.002","ISSN":"01681923","abstract":"The eddy covariance (EC) method is routinely used to measure net ecosystem fluxes of carbon dioxide (CO2) and evapotranspiration (ET) in terrestrial ecosystems. It is often desirable to partition CO2 flux into gross primary production (GPP) and ecosystem respiration (RE), and to partition ET into evaporation and transpiration. We applied multiple partitioning methods, including the recently-developed flux variance similarity (FVS) partitioning method, to a ten-year record of ET and CO2 fluxes measured using EC at Morgan Monroe State Forest, a temperate, deciduous forest located in south-central Indiana, USA. While the FVS method has previously been demonstrated in croplands and grasslands, this is the first evaluation of the method in a forest. CO2 fluxes were partitioned using nonlinear regressions, FVS, and sub-canopy EC measurements. ET was partitioned using FVS and sub-canopy EC measurements, and sub-canopy potential evapotranspiration was calculated as an additional constraint on forest floor evaporation. Leaf gas exchange measurements were used to parameterize a model of water use efficiency (WUE) necessary for the FVS method. Scaled leaf gas exchange measurements also provided additional independent estimates of GPP and transpiration. There was good agreement among partitioning methods for transpiration and GPP, which also agreed well with scaled leaf gas exchange measurements. There was higher variability among methods for RE and evaporation. The sub-canopy flux method yielded lower estimates of evaporation and RE than FVS and lower estimates of RE than the nonlinear regression method, likely due to the exclusion of flux sources within the canopy but above the top of the sub-canopy tower for the sub-canopy flux method. Based on a sensitivity test, FVS flux partitioning was moderately sensitive to errors in WUE values, and underestimates of WUE significantly reduced the rate at which the algorithm was able to produce a physically valid solution. FVS partitioning has unique potential for retroactive ET partitioning at EC sites, because it relies on the same continuous measurements as EC and does not require additional specialized equipment. FVS also has advantages for partitioning CO2 fluxes, since it does not rely on the mechanistic assumptions necessary for the commonly used nonlinear regression technique.","author":[{"dropping-particle":"","family":"Sulman","given":"Benjamin N.","non-dropping-particle":"","parse-names":false,"suffix":""},{"dropping-particle":"","family":"Roman","given":"D. Tyler","non-dropping-particle":"","parse-names":false,"suffix":""},{"dropping-particle":"","family":"Scanlon","given":"Todd M.","non-dropping-particle":"","parse-names":false,"suffix":""},{"dropping-particle":"","family":"Wang","given":"Lixin","non-dropping-particle":"","parse-names":false,"suffix":""},{"dropping-particle":"","family":"Novick","given":"Kimberly A.","non-dropping-particle":"","parse-names":false,"suffix":""}],"container-title":"Agricultural and Forest Meteorology","id":"ITEM-1","issued":{"date-parts":[["2016"]]},"page":"229-245","title":"Comparing methods for partitioning a decade of carbon dioxide and water vapor fluxes in a temperate forest","type":"article-journal","volume":"226-227"},"uris":["http://www.mendeley.com/documents/?uuid=5cab5d2b-3142-4a9a-bc2a-fb2b188bc7fe"]},{"id":"ITEM-2","itemData":{"DOI":"10.1016/j.agrformet.2007.11.012","author":[{"dropping-particle":"","family":"Desai","given":"Ankur R.","non-dropping-particle":"","parse-names":false,"suffix":""},{"dropping-particle":"","family":"Richardson","given":"Andrew D.","non-dropping-particle":"","parse-names":false,"suffix":""},{"dropping-particle":"","family":"Moffat","given":"Antje M.","non-dropping-particle":"","parse-names":false,"suffix":""},{"dropping-particle":"","family":"Kattge","given":"J.","non-dropping-particle":"","parse-names":false,"suffix":""},{"dropping-particle":"","family":"Hollinger","given":"David Y.","non-dropping-particle":"","parse-names":false,"suffix":""},{"dropping-particle":"","family":"Barr","given":"A.","non-dropping-particle":"","parse-names":false,"suffix":""},{"dropping-particle":"","family":"Falge","given":"E.","non-dropping-particle":"","parse-names":false,"suffix":""},{"dropping-particle":"","family":"Noormets","given":"A.","non-dropping-particle":"","parse-names":false,"suffix":""},{"dropping-particle":"","family":"Papale","given":"D.","non-dropping-particle":"","parse-names":false,"suffix":""},{"dropping-particle":"","family":"Reichstein","given":"M.","non-dropping-particle":"","parse-names":false,"suffix":""},{"dropping-particle":"","family":"Stauch","given":"Vanessa J.","non-dropping-particle":"","parse-names":false,"suffix":""}],"container-title":"Agricultural and Forest Meteorology","id":"ITEM-2","issue":"6-7","issued":{"date-parts":[["2008"]]},"page":"821-838","title":"Cross-site evaluation of eddy covariance GPP and RE decomposition techniques","type":"article-journal","volume":"148"},"uris":["http://www.mendeley.com/documents/?uuid=838566fa-38be-4642-afa2-36c2aa2c2c4a"]}],"mendeley":{"formattedCitation":"(Desai et al., 2008; Sulman et al., 2016)","plainTextFormattedCitation":"(Desai et al., 2008; Sulman et al., 2016)","previouslyFormattedCitation":"(Desai et al., 2008; Sulman et al., 2016)"},"properties":{"noteIndex":0},"schema":"https://github.com/citation-style-language/schema/raw/master/csl-citation.json"}</w:instrText>
      </w:r>
      <w:r>
        <w:rPr>
          <w:rFonts w:eastAsia="Arial"/>
          <w:sz w:val="24"/>
        </w:rPr>
        <w:fldChar w:fldCharType="separate"/>
      </w:r>
      <w:r w:rsidRPr="00422F28">
        <w:rPr>
          <w:rFonts w:eastAsia="Arial"/>
          <w:noProof/>
          <w:sz w:val="24"/>
        </w:rPr>
        <w:t>(Desai et al., 2008; Sulman et al., 2016)</w:t>
      </w:r>
      <w:r>
        <w:rPr>
          <w:rFonts w:eastAsia="Arial"/>
          <w:sz w:val="24"/>
        </w:rPr>
        <w:fldChar w:fldCharType="end"/>
      </w:r>
      <w:r w:rsidRPr="00C1362F">
        <w:rPr>
          <w:rFonts w:eastAsia="Arial"/>
          <w:sz w:val="24"/>
        </w:rPr>
        <w:t xml:space="preserve">. Consequently, we assigned these sites to the first category. </w:t>
      </w:r>
      <w:r>
        <w:rPr>
          <w:rFonts w:eastAsia="Arial"/>
          <w:sz w:val="24"/>
        </w:rPr>
        <w:t>Overall, we obtained data from</w:t>
      </w:r>
      <w:r w:rsidRPr="00C1362F">
        <w:rPr>
          <w:rFonts w:eastAsia="Arial"/>
          <w:sz w:val="24"/>
        </w:rPr>
        <w:t xml:space="preserve"> 17, 31, and 13 sites in categories 1, 2, and 3, respectively. The flux datasets from the retained sites were quality controlled and harmonized </w:t>
      </w:r>
      <w:r>
        <w:rPr>
          <w:rFonts w:eastAsia="Arial"/>
          <w:sz w:val="24"/>
        </w:rPr>
        <w:t xml:space="preserve">using standard methods </w:t>
      </w:r>
      <w:r w:rsidRPr="00C1362F">
        <w:rPr>
          <w:rFonts w:eastAsia="Arial"/>
          <w:sz w:val="24"/>
        </w:rPr>
        <w:t xml:space="preserve">(Section 2.3) before being used for model calibration and validation (Sections 2.5 and 2.6). </w:t>
      </w:r>
    </w:p>
    <w:p w14:paraId="4B0620BA" w14:textId="77777777" w:rsidR="00F25462" w:rsidRPr="00C1362F" w:rsidRDefault="00F25462" w:rsidP="00F25462">
      <w:pPr>
        <w:spacing w:before="120"/>
        <w:ind w:firstLine="720"/>
        <w:jc w:val="both"/>
        <w:rPr>
          <w:rFonts w:eastAsia="Arial"/>
          <w:sz w:val="24"/>
        </w:rPr>
      </w:pPr>
      <w:r>
        <w:rPr>
          <w:rFonts w:eastAsia="Arial"/>
          <w:sz w:val="24"/>
        </w:rPr>
        <w:t>To represent the local representativeness of the flux towers, s</w:t>
      </w:r>
      <w:r w:rsidRPr="00C1362F">
        <w:rPr>
          <w:rFonts w:eastAsia="Arial"/>
          <w:sz w:val="24"/>
        </w:rPr>
        <w:t xml:space="preserve">hapefiles were created in R </w:t>
      </w:r>
      <w:r w:rsidRPr="00C1362F">
        <w:rPr>
          <w:rFonts w:eastAsia="Arial"/>
          <w:sz w:val="24"/>
        </w:rPr>
        <w:fldChar w:fldCharType="begin" w:fldLock="1"/>
      </w:r>
      <w:r w:rsidRPr="00C1362F">
        <w:rPr>
          <w:rFonts w:eastAsia="Arial"/>
          <w:sz w:val="24"/>
        </w:rPr>
        <w:instrText>ADDIN CSL_CITATION {"citationItems":[{"id":"ITEM-1","itemData":{"ISBN":"3900051070","ISSN":"16000706","URL":"https://www.r-project.org/","accessed":{"date-parts":[["2023","4","12"]]},"author":[{"dropping-particle":"","family":"R Core Team","given":"","non-dropping-particle":"","parse-names":false,"suffix":""}],"container-title":"R Foundation for Statistical Computing","id":"ITEM-1","issued":{"date-parts":[["2023"]]},"publisher":"R Foundation for Statistical Computing","publisher-place":"Vienna, Austria","title":"R: A language and environment for Statistical Computing","type":"webpage"},"uris":["http://www.mendeley.com/documents/?uuid=1311031e-80e8-4437-8726-5401553b3956"]}],"mendeley":{"formattedCitation":"(R Core Team, 2023)","plainTextFormattedCitation":"(R Core Team, 2023)","previouslyFormattedCitation":"(R Core Team, 2023)"},"properties":{"noteIndex":0},"schema":"https://github.com/citation-style-language/schema/raw/master/csl-citation.json"}</w:instrText>
      </w:r>
      <w:r w:rsidRPr="00C1362F">
        <w:rPr>
          <w:rFonts w:eastAsia="Arial"/>
          <w:sz w:val="24"/>
        </w:rPr>
        <w:fldChar w:fldCharType="separate"/>
      </w:r>
      <w:r w:rsidRPr="00C1362F">
        <w:rPr>
          <w:rFonts w:eastAsia="Arial"/>
          <w:noProof/>
          <w:sz w:val="24"/>
        </w:rPr>
        <w:t>(R Core Team, 2023)</w:t>
      </w:r>
      <w:r w:rsidRPr="00C1362F">
        <w:rPr>
          <w:rFonts w:eastAsia="Arial"/>
          <w:sz w:val="24"/>
        </w:rPr>
        <w:fldChar w:fldCharType="end"/>
      </w:r>
      <w:r w:rsidRPr="00C1362F">
        <w:rPr>
          <w:rFonts w:eastAsia="Arial"/>
          <w:sz w:val="24"/>
        </w:rPr>
        <w:t xml:space="preserve"> using small (90</w:t>
      </w:r>
      <w:r>
        <w:rPr>
          <w:rFonts w:eastAsia="Arial"/>
          <w:sz w:val="24"/>
        </w:rPr>
        <w:t xml:space="preserve"> </w:t>
      </w:r>
      <w:r w:rsidRPr="00C1362F">
        <w:rPr>
          <w:rFonts w:eastAsia="Arial"/>
          <w:sz w:val="24"/>
        </w:rPr>
        <w:t xml:space="preserve">m </w:t>
      </w:r>
      <m:oMath>
        <m:r>
          <w:rPr>
            <w:rFonts w:ascii="Cambria Math" w:eastAsia="Arial" w:hAnsi="Cambria Math"/>
            <w:sz w:val="24"/>
          </w:rPr>
          <m:t>×</m:t>
        </m:r>
      </m:oMath>
      <w:r>
        <w:rPr>
          <w:rFonts w:eastAsia="Arial"/>
          <w:sz w:val="24"/>
        </w:rPr>
        <w:t xml:space="preserve"> </w:t>
      </w:r>
      <w:r w:rsidRPr="00C1362F">
        <w:rPr>
          <w:rFonts w:eastAsia="Arial"/>
          <w:sz w:val="24"/>
        </w:rPr>
        <w:t>90</w:t>
      </w:r>
      <w:r>
        <w:rPr>
          <w:rFonts w:eastAsia="Arial"/>
          <w:sz w:val="24"/>
        </w:rPr>
        <w:t xml:space="preserve"> </w:t>
      </w:r>
      <w:r w:rsidRPr="00C1362F">
        <w:rPr>
          <w:rFonts w:eastAsia="Arial"/>
          <w:sz w:val="24"/>
        </w:rPr>
        <w:t>m) or large (510</w:t>
      </w:r>
      <w:r>
        <w:rPr>
          <w:rFonts w:eastAsia="Arial"/>
          <w:sz w:val="24"/>
        </w:rPr>
        <w:t xml:space="preserve"> </w:t>
      </w:r>
      <w:r w:rsidRPr="00C1362F">
        <w:rPr>
          <w:rFonts w:eastAsia="Arial"/>
          <w:sz w:val="24"/>
        </w:rPr>
        <w:t xml:space="preserve">m </w:t>
      </w:r>
      <m:oMath>
        <m:r>
          <w:rPr>
            <w:rFonts w:ascii="Cambria Math" w:eastAsia="Arial" w:hAnsi="Cambria Math"/>
            <w:sz w:val="24"/>
          </w:rPr>
          <m:t>×</m:t>
        </m:r>
      </m:oMath>
      <w:r w:rsidRPr="00C1362F">
        <w:rPr>
          <w:rFonts w:eastAsia="Arial"/>
          <w:sz w:val="24"/>
        </w:rPr>
        <w:t xml:space="preserve"> 510</w:t>
      </w:r>
      <w:r>
        <w:rPr>
          <w:rFonts w:eastAsia="Arial"/>
          <w:sz w:val="24"/>
        </w:rPr>
        <w:t xml:space="preserve"> </w:t>
      </w:r>
      <w:r w:rsidRPr="00C1362F">
        <w:rPr>
          <w:rFonts w:eastAsia="Arial"/>
          <w:sz w:val="24"/>
        </w:rPr>
        <w:t>m) grid sizes determined by employing a threshold value based on the flux tower height of 8</w:t>
      </w:r>
      <w:r>
        <w:rPr>
          <w:rFonts w:eastAsia="Arial"/>
          <w:sz w:val="24"/>
        </w:rPr>
        <w:t xml:space="preserve"> </w:t>
      </w:r>
      <w:r w:rsidRPr="00C1362F">
        <w:rPr>
          <w:rFonts w:eastAsia="Arial"/>
          <w:sz w:val="24"/>
        </w:rPr>
        <w:t xml:space="preserve">m </w:t>
      </w:r>
      <w:r>
        <w:rPr>
          <w:rFonts w:eastAsia="Arial"/>
          <w:sz w:val="24"/>
        </w:rPr>
        <w:t xml:space="preserve">to approximate footprints </w:t>
      </w:r>
      <w:r w:rsidRPr="00C1362F">
        <w:rPr>
          <w:rFonts w:eastAsia="Arial"/>
          <w:sz w:val="24"/>
        </w:rPr>
        <w:t>(</w:t>
      </w:r>
      <w:r>
        <w:rPr>
          <w:rFonts w:eastAsia="Arial"/>
          <w:sz w:val="24"/>
        </w:rPr>
        <w:t xml:space="preserve">SI: </w:t>
      </w:r>
      <w:r w:rsidRPr="00C1362F">
        <w:rPr>
          <w:rFonts w:eastAsia="Arial"/>
          <w:sz w:val="24"/>
        </w:rPr>
        <w:t xml:space="preserve">Table B1). The shapefiles were used for extraction of MODIS and Landsat RS inputs, as well as </w:t>
      </w:r>
      <w:r>
        <w:rPr>
          <w:rFonts w:eastAsia="Arial"/>
          <w:sz w:val="24"/>
        </w:rPr>
        <w:t>variable</w:t>
      </w:r>
      <w:r w:rsidRPr="00C1362F">
        <w:rPr>
          <w:rFonts w:eastAsia="Arial"/>
          <w:sz w:val="24"/>
        </w:rPr>
        <w:t xml:space="preserve"> inputs in subsequent steps</w:t>
      </w:r>
      <w:r>
        <w:rPr>
          <w:rFonts w:eastAsia="Arial"/>
          <w:sz w:val="24"/>
        </w:rPr>
        <w:t xml:space="preserve"> (Fig. 1)</w:t>
      </w:r>
      <w:r w:rsidRPr="00C1362F">
        <w:rPr>
          <w:rFonts w:eastAsia="Arial"/>
          <w:sz w:val="24"/>
        </w:rPr>
        <w:t xml:space="preserve">. </w:t>
      </w:r>
    </w:p>
    <w:p w14:paraId="45225DAE" w14:textId="43BD4082" w:rsidR="00F25462" w:rsidRPr="00C1362F" w:rsidRDefault="00F25462" w:rsidP="00F25462">
      <w:pPr>
        <w:pStyle w:val="Heading-Secondary"/>
      </w:pPr>
      <w:r w:rsidRPr="00C1362F">
        <w:t xml:space="preserve">2.3 Quality </w:t>
      </w:r>
      <w:r>
        <w:t>c</w:t>
      </w:r>
      <w:r w:rsidRPr="00C1362F">
        <w:t xml:space="preserve">ontrol of </w:t>
      </w:r>
      <w:r w:rsidR="005B0B29">
        <w:t xml:space="preserve">C </w:t>
      </w:r>
      <w:r w:rsidRPr="00C1362F">
        <w:t>flux</w:t>
      </w:r>
      <w:r>
        <w:t xml:space="preserve"> datasets</w:t>
      </w:r>
      <w:r w:rsidRPr="00C1362F">
        <w:t xml:space="preserve"> </w:t>
      </w:r>
    </w:p>
    <w:p w14:paraId="5270BB72" w14:textId="77777777" w:rsidR="00F25462" w:rsidRPr="00C1362F" w:rsidRDefault="00F25462" w:rsidP="00F25462">
      <w:pPr>
        <w:spacing w:before="120"/>
        <w:ind w:firstLine="720"/>
        <w:jc w:val="both"/>
        <w:rPr>
          <w:rFonts w:eastAsia="Arial"/>
          <w:sz w:val="24"/>
        </w:rPr>
      </w:pPr>
      <w:r w:rsidRPr="00C1362F">
        <w:rPr>
          <w:rFonts w:eastAsia="Arial"/>
          <w:sz w:val="24"/>
        </w:rPr>
        <w:t>A number of quality control (QC) measures were applied to the C flux (NEE and GPP) datasets to alleviate bias that can influence subsequent model parameterization steps. First, daily GPP and NEE results, as well as the associated meteorological measurements (e.g., air temperature, precipitation)</w:t>
      </w:r>
      <w:r>
        <w:rPr>
          <w:rFonts w:eastAsia="Arial"/>
          <w:sz w:val="24"/>
        </w:rPr>
        <w:t>,</w:t>
      </w:r>
      <w:r w:rsidRPr="00C1362F">
        <w:rPr>
          <w:rFonts w:eastAsia="Arial"/>
          <w:sz w:val="24"/>
        </w:rPr>
        <w:t xml:space="preserve"> were plotted to allow the </w:t>
      </w:r>
      <w:r>
        <w:rPr>
          <w:rFonts w:eastAsia="Arial"/>
          <w:sz w:val="24"/>
        </w:rPr>
        <w:t xml:space="preserve">visual </w:t>
      </w:r>
      <w:r w:rsidRPr="00C1362F">
        <w:rPr>
          <w:rFonts w:eastAsia="Arial"/>
          <w:sz w:val="24"/>
        </w:rPr>
        <w:t xml:space="preserve">identification of potential outliers or noise including: (1) extended periods with GPP reported as zero, especially during the growing season; (2) multiple GPP peaks with similar magnitudes observed during the growing season; (3) irregular spikes or sudden changes in GPP or NEE, particularly during the non-growing season. For sites with observations falling within category (1), we worked with flux tower PIs to determine whether it was necessary to replace the identified data points with </w:t>
      </w:r>
      <w:r>
        <w:rPr>
          <w:rFonts w:eastAsia="Arial"/>
          <w:sz w:val="24"/>
        </w:rPr>
        <w:t>no-value (</w:t>
      </w:r>
      <w:r w:rsidRPr="00C1362F">
        <w:rPr>
          <w:rFonts w:eastAsia="Arial"/>
          <w:sz w:val="24"/>
        </w:rPr>
        <w:t>NA</w:t>
      </w:r>
      <w:r>
        <w:rPr>
          <w:rFonts w:eastAsia="Arial"/>
          <w:sz w:val="24"/>
        </w:rPr>
        <w:t>N) flags</w:t>
      </w:r>
      <w:r w:rsidRPr="00C1362F">
        <w:rPr>
          <w:rFonts w:eastAsia="Arial"/>
          <w:sz w:val="24"/>
        </w:rPr>
        <w:t xml:space="preserve">. In the case of data points identified through category (2), we consulted with flux tower PIs to confirm whether the presence of multiple peaks could be attributed to </w:t>
      </w:r>
      <w:r>
        <w:rPr>
          <w:rFonts w:eastAsia="Arial"/>
          <w:sz w:val="24"/>
        </w:rPr>
        <w:t>grazing</w:t>
      </w:r>
      <w:r w:rsidRPr="00C1362F">
        <w:rPr>
          <w:rFonts w:eastAsia="Arial"/>
          <w:sz w:val="24"/>
        </w:rPr>
        <w:t xml:space="preserve"> </w:t>
      </w:r>
      <w:r>
        <w:rPr>
          <w:rFonts w:eastAsia="Arial"/>
          <w:sz w:val="24"/>
        </w:rPr>
        <w:t xml:space="preserve">or </w:t>
      </w:r>
      <w:r w:rsidRPr="00C1362F">
        <w:rPr>
          <w:rFonts w:eastAsia="Arial"/>
          <w:sz w:val="24"/>
        </w:rPr>
        <w:t>the growth of multiple vegetation species</w:t>
      </w:r>
      <w:r>
        <w:rPr>
          <w:rFonts w:eastAsia="Arial"/>
          <w:sz w:val="24"/>
        </w:rPr>
        <w:t xml:space="preserve"> (e.g., C3 and C4)</w:t>
      </w:r>
      <w:r w:rsidRPr="00C1362F">
        <w:rPr>
          <w:rFonts w:eastAsia="Arial"/>
          <w:sz w:val="24"/>
        </w:rPr>
        <w:t xml:space="preserve"> at the sites</w:t>
      </w:r>
      <w:r>
        <w:rPr>
          <w:rFonts w:eastAsia="Arial"/>
          <w:sz w:val="24"/>
        </w:rPr>
        <w:t xml:space="preserve"> </w:t>
      </w:r>
      <w:r w:rsidRPr="00C1362F">
        <w:rPr>
          <w:rFonts w:eastAsia="Arial"/>
          <w:sz w:val="24"/>
        </w:rPr>
        <w:t xml:space="preserve">before determining whether to retain the data points. Finally, outlier peaks identified in category (3) were removed using a moving window approach adapted from the outlier removal methods designed for time series datasets </w:t>
      </w:r>
      <w:r w:rsidRPr="00C1362F">
        <w:rPr>
          <w:rFonts w:eastAsia="Arial"/>
          <w:sz w:val="24"/>
        </w:rPr>
        <w:fldChar w:fldCharType="begin" w:fldLock="1"/>
      </w:r>
      <w:r w:rsidRPr="00C1362F">
        <w:rPr>
          <w:rFonts w:eastAsia="Arial"/>
          <w:sz w:val="24"/>
        </w:rPr>
        <w:instrText>ADDIN CSL_CITATION {"citationItems":[{"id":"ITEM-1","itemData":{"ISBN":"9781461484554","URL":"http://r.meteo.uni.wroc.pl/web/packages/tsoutliers/tsoutliers.pdf","accessed":{"date-parts":[["2023","11","7"]]},"author":[{"dropping-particle":"","family":"Hartigan","given":"Title","non-dropping-particle":"","parse-names":false,"suffix":""},{"dropping-particle":"","family":"Hartigan","given":"Description Compute","non-dropping-particle":"","parse-names":false,"suffix":""},{"dropping-particle":"","family":"Maechler","given":"Maintainer Martin","non-dropping-particle":"","parse-names":false,"suffix":""},{"dropping-particle":"","family":"Maechler","given":"Author Martin","non-dropping-particle":"","parse-names":false,"suffix":""},{"dropping-particle":"","family":"Ringach","given":"Dario","non-dropping-particle":"","parse-names":false,"suffix":""},{"dropping-particle":"","family":"Gpl","given":"License","non-dropping-particle":"","parse-names":false,"suffix":""},{"dropping-particle":"","family":"Date","given":"Repository Cran","non-dropping-particle":"","parse-names":false,"suffix":""}],"container-title":"R CRAN","id":"ITEM-1","issued":{"date-parts":[["2019"]]},"page":"1-29","publisher-place":"Vienna, Austria","title":"Package 'tsoutliers': Detection of outliers in time series","type":"webpage"},"uris":["http://www.mendeley.com/documents/?uuid=39bd0518-8d0e-4bc8-acf2-f00facf55c08"]},{"id":"ITEM-2","itemData":{"URL":"https://cran.r-project.org/web/packages/oce/oce.pdf","abstract":"Supports the analysis of Oceanographic data, including ADP measurements, CTD measurements, sectional data, sea-level time series, coastline files, etc. Provides functions for calculating seawater properties such as potential temperature and density, as well as derived properties such as buoyancy frequency and dynamic height.","accessed":{"date-parts":[["2023","11","7"]]},"author":[{"dropping-particle":"","family":"Kelley","given":"Dan","non-dropping-particle":"","parse-names":false,"suffix":""}],"container-title":"R CRAN","id":"ITEM-2","issued":{"date-parts":[["2013"]]},"page":"153-155","publisher-place":"Vienna, Austria","title":"Package 'oce': Analysis of oceanographic data","type":"webpage"},"uris":["http://www.mendeley.com/documents/?uuid=894479a4-3c6b-49b6-bf96-22ef350174e8"]}],"mendeley":{"formattedCitation":"(Hartigan et al., 2019; Kelley, 2013)","plainTextFormattedCitation":"(Hartigan et al., 2019; Kelley, 2013)","previouslyFormattedCitation":"(Hartigan et al., 2019; Kelley, 2013)"},"properties":{"noteIndex":0},"schema":"https://github.com/citation-style-language/schema/raw/master/csl-citation.json"}</w:instrText>
      </w:r>
      <w:r w:rsidRPr="00C1362F">
        <w:rPr>
          <w:rFonts w:eastAsia="Arial"/>
          <w:sz w:val="24"/>
        </w:rPr>
        <w:fldChar w:fldCharType="separate"/>
      </w:r>
      <w:r w:rsidRPr="00C1362F">
        <w:rPr>
          <w:rFonts w:eastAsia="Arial"/>
          <w:noProof/>
          <w:sz w:val="24"/>
        </w:rPr>
        <w:t>(Hartigan et al., 2019; Kelley, 2013)</w:t>
      </w:r>
      <w:r w:rsidRPr="00C1362F">
        <w:rPr>
          <w:rFonts w:eastAsia="Arial"/>
          <w:sz w:val="24"/>
        </w:rPr>
        <w:fldChar w:fldCharType="end"/>
      </w:r>
      <w:r w:rsidRPr="00C1362F">
        <w:rPr>
          <w:rFonts w:eastAsia="Arial"/>
          <w:sz w:val="24"/>
        </w:rPr>
        <w:t xml:space="preserve">. This involved establishing the median value of a 15-day period as a reference value, and then any observation that deviated from its reference by more than twice the standard deviation of the flux measurements at the site level was removed. The quality controlled daily GPP and NEE datasets were then </w:t>
      </w:r>
      <w:r>
        <w:rPr>
          <w:rFonts w:eastAsia="Arial"/>
          <w:sz w:val="24"/>
        </w:rPr>
        <w:t>classified</w:t>
      </w:r>
      <w:r w:rsidRPr="00C1362F">
        <w:rPr>
          <w:rFonts w:eastAsia="Arial"/>
          <w:sz w:val="24"/>
        </w:rPr>
        <w:t xml:space="preserve"> into the four </w:t>
      </w:r>
      <w:r>
        <w:rPr>
          <w:rFonts w:eastAsia="Arial"/>
          <w:sz w:val="24"/>
        </w:rPr>
        <w:t>vegetation types</w:t>
      </w:r>
      <w:r w:rsidRPr="00C1362F">
        <w:rPr>
          <w:rFonts w:eastAsia="Arial"/>
          <w:sz w:val="24"/>
        </w:rPr>
        <w:t xml:space="preserve"> defined in Section 2.2.</w:t>
      </w:r>
    </w:p>
    <w:p w14:paraId="49D3D915" w14:textId="435DD791" w:rsidR="00F25462" w:rsidRPr="00C1362F" w:rsidRDefault="00F25462" w:rsidP="00F25462">
      <w:pPr>
        <w:pStyle w:val="Heading-Secondary"/>
      </w:pPr>
      <w:r w:rsidRPr="00C1362F">
        <w:t xml:space="preserve">2.4 Remote </w:t>
      </w:r>
      <w:r>
        <w:t>s</w:t>
      </w:r>
      <w:r w:rsidRPr="00C1362F">
        <w:t xml:space="preserve">ensing </w:t>
      </w:r>
      <w:r>
        <w:t>d</w:t>
      </w:r>
      <w:r w:rsidRPr="00C1362F">
        <w:t xml:space="preserve">ata </w:t>
      </w:r>
      <w:r>
        <w:t>e</w:t>
      </w:r>
      <w:r w:rsidRPr="00C1362F">
        <w:t xml:space="preserve">xtraction and </w:t>
      </w:r>
      <w:r>
        <w:t>p</w:t>
      </w:r>
      <w:r w:rsidRPr="00C1362F">
        <w:t>rocessing</w:t>
      </w:r>
    </w:p>
    <w:p w14:paraId="5F3BDE35" w14:textId="42FB21C1" w:rsidR="00F25462" w:rsidRPr="00C1362F" w:rsidRDefault="00F25462" w:rsidP="00F25462">
      <w:pPr>
        <w:spacing w:before="120"/>
        <w:ind w:firstLine="720"/>
        <w:jc w:val="both"/>
        <w:rPr>
          <w:rFonts w:eastAsia="Arial"/>
          <w:sz w:val="24"/>
        </w:rPr>
      </w:pPr>
      <w:r w:rsidRPr="00C1362F">
        <w:rPr>
          <w:rFonts w:eastAsia="Arial"/>
          <w:sz w:val="24"/>
        </w:rPr>
        <w:t>We derived 30</w:t>
      </w:r>
      <w:r>
        <w:rPr>
          <w:rFonts w:eastAsia="Arial"/>
          <w:sz w:val="24"/>
        </w:rPr>
        <w:t xml:space="preserve"> </w:t>
      </w:r>
      <w:r w:rsidRPr="00C1362F">
        <w:rPr>
          <w:rFonts w:eastAsia="Arial"/>
          <w:sz w:val="24"/>
        </w:rPr>
        <w:t xml:space="preserve">m estimates of fPAR at five-day intervals by employing the STARFM algorithm </w:t>
      </w:r>
      <w:r w:rsidRPr="00C1362F">
        <w:rPr>
          <w:rFonts w:eastAsia="Arial"/>
          <w:sz w:val="24"/>
        </w:rPr>
        <w:fldChar w:fldCharType="begin" w:fldLock="1"/>
      </w:r>
      <w:r>
        <w:rPr>
          <w:rFonts w:eastAsia="Arial"/>
          <w:sz w:val="24"/>
        </w:rPr>
        <w:instrText>ADDIN CSL_CITATION {"citationItems":[{"id":"ITEM-1","itemData":{"DOI":"10.1109/TGRS.2006.872081","ISSN":"01962892","abstract":"The 16-day revisit cycle of Landsat has long limited its use for studying global biophysical processes, which evolve rapidly during the growing season. In cloudy areas of the Earth, the problem is compounded, and researchers are fortunate to get two to three clear images per year. At the same time, the coarse resolution of sensors such as the Advanced Very High Resolution Radiometer and Moderate Resolution Imaging Spectroradiometer (MODIS) limits the sensors' ability to quantify biophysical processes in heterogeneous landscapes. In this paper, the authors present a new spatial and temporal adaptive reflectance fusion model (STARFM) algorithm to blend Landsat and MODIS surface reflectance. Using this approach, high-frequency temporal information from MODIS and high-resolution spatial information from Landsat can be blended for applications that require high resolution in both time and space. The MODIS daily 500-m surface reflectance and the 16-day repeat cycle Landsat Enhanced Thematic Mapper Plus (ETM+) 30-m surface reflectance are used to produce a synthetic \"daily\" surface reflectance product at ETM+ spatial resolution. The authors present results both with simulated (model) data and actual Landsat/MODIS acquisitions. In general, the STARFM accurately predicts surface reflectance at an effective resolution close to that of the ETM+. However, the performance depends on the characteristic patch size of the landscape and degrades somewhat when used on extremely heterogeneous fine-grained landscapes. © 2006 IEEE.","author":[{"dropping-particle":"","family":"Gao","given":"Feng","non-dropping-particle":"","parse-names":false,"suffix":""},{"dropping-particle":"","family":"Masek","given":"Jeff","non-dropping-particle":"","parse-names":false,"suffix":""},{"dropping-particle":"","family":"Schwaller","given":"Matt","non-dropping-particle":"","parse-names":false,"suffix":""},{"dropping-particle":"","family":"Hall","given":"Forrest","non-dropping-particle":"","parse-names":false,"suffix":""}],"container-title":"IEEE Transactions on Geoscience and Remote Sensing","id":"ITEM-1","issue":"8","issued":{"date-parts":[["2006"]]},"page":"2207-2218","title":"On the blending of the landsat and MODIS surface reflectance: Predicting daily landsat surface reflectance","type":"article-journal","volume":"44"},"uris":["http://www.mendeley.com/documents/?uuid=c616ddaf-c933-4ec5-a503-a7c5a8c81839"]},{"id":"ITEM-2","itemData":{"DOI":"10.1016/j.rse.2010.08.005","ISSN":"00344257","abstract":"Conservation tillage management has been advocated for carbon sequestration and soil quality preservation purposes. Past satellite image analyses have had difficulty in differentiating between no-till (NT) and minimal tillage (MT) conservation classes due to similarities in surface residues, and may have been restricted by the availability of cloud-free satellite imagery. This study hypothesized that the inclusion of high temporal data into the classification process would increase conservation tillage accuracy due to the added likelihood of capturing spectral changes in MT fields following a tillage disturbance. Classification accuracies were evaluated for Random Forest models based on 250-m and 500-m MODIS, 30-m Landsat, and 30-m synthetic reflectance values. Synthetic (30-m) data derived from the Spatial and Temporal Adaptive Reflectance Fusion Model (STARFM) were evaluated because high frequency Landsat image sets are often unavailable within a cropping season due to cloud issues. Classification results from a five-date Landsat model were substantially better than those reported by previous classification tillage studies, with 94% total and ≥ 88% class producer's accuracies. Landsat-derived models based on individual image scenes (May through August) yielded poor MT classifications, but a monthly increase in accuracy illustrated the importance of temporal sampling for capturing regional tillage disturbance signatures. MODIS-based model accuracies (90% total; ≥ 82% class) were lower than in the five-date Landsat model, but were higher than previous image-based and survey-based tillage classification results. Almost all the STARFM prediction-based models had classification accuracies higher than, or comparable to, the MODIS-based results (&gt; 90% total; ≥ 84% class) but the resulting model accuracies were dependent on the MODIS/Landsat base pairs used to generate the STARFM predictions. Also evident within the STARFM prediction-based models was the ability for high frequency data series to compensate for degraded synthetic spectral values when classifying field-based tillage. The decision to use MODIS or STARFM-based data within conservation tillage analysis is likely situation dependent. A MODIS-based approach requires little data processing and could be more efficient for large-area mapping; however a STARFM-based analysis might be more appropriate in mixed-pixel situations that could potentially compromise classification accuracy. © 2010 Elsevier Inc.","author":[{"dropping-particle":"","family":"Watts","given":"Jennifer D.","non-dropping-particle":"","parse-names":false,"suffix":""},{"dropping-particle":"","family":"Powell","given":"Scott L.","non-dropping-particle":"","parse-names":false,"suffix":""},{"dropping-particle":"","family":"Lawrence","given":"Rick L.","non-dropping-particle":"","parse-names":false,"suffix":""},{"dropping-particle":"","family":"Hilker","given":"Thomas","non-dropping-particle":"","parse-names":false,"suffix":""}],"container-title":"Remote Sensing of Environment","id":"ITEM-2","issue":"1","issued":{"date-parts":[["2011"]]},"page":"66-75","title":"Improved classification of conservation tillage adoption using high temporal and synthetic satellite imagery","type":"article-journal","volume":"115"},"uris":["http://www.mendeley.com/documents/?uuid=208684cf-f0ac-42d4-91fb-75b9c6fdf50f"]}],"mendeley":{"formattedCitation":"(F. Gao et al., 2006; Watts et al., 2011)","manualFormatting":"(Gao et al., 2006; Watts et al., 2011)","plainTextFormattedCitation":"(F. Gao et al., 2006; Watts et al., 2011)","previouslyFormattedCitation":"(F. Gao et al., 2006; Watts et al., 2011)"},"properties":{"noteIndex":0},"schema":"https://github.com/citation-style-language/schema/raw/master/csl-citation.json"}</w:instrText>
      </w:r>
      <w:r w:rsidRPr="00C1362F">
        <w:rPr>
          <w:rFonts w:eastAsia="Arial"/>
          <w:sz w:val="24"/>
        </w:rPr>
        <w:fldChar w:fldCharType="separate"/>
      </w:r>
      <w:r w:rsidRPr="005879DA">
        <w:rPr>
          <w:rFonts w:eastAsia="Arial"/>
          <w:noProof/>
          <w:sz w:val="24"/>
        </w:rPr>
        <w:t>(Gao et al., 2006; Watts et al., 2011)</w:t>
      </w:r>
      <w:r w:rsidRPr="00C1362F">
        <w:rPr>
          <w:rFonts w:eastAsia="Arial"/>
          <w:sz w:val="24"/>
        </w:rPr>
        <w:fldChar w:fldCharType="end"/>
      </w:r>
      <w:r>
        <w:rPr>
          <w:rFonts w:eastAsia="Arial"/>
          <w:sz w:val="24"/>
        </w:rPr>
        <w:t>,</w:t>
      </w:r>
      <w:r w:rsidRPr="00C1362F">
        <w:rPr>
          <w:rFonts w:eastAsia="Arial"/>
          <w:sz w:val="24"/>
        </w:rPr>
        <w:t xml:space="preserve"> which leverages the high temporal resolution of MODIS inputs (500</w:t>
      </w:r>
      <w:r>
        <w:rPr>
          <w:rFonts w:eastAsia="Arial"/>
          <w:sz w:val="24"/>
        </w:rPr>
        <w:t xml:space="preserve"> </w:t>
      </w:r>
      <w:r w:rsidRPr="00C1362F">
        <w:rPr>
          <w:rFonts w:eastAsia="Arial"/>
          <w:sz w:val="24"/>
        </w:rPr>
        <w:t>m, daily) and high spatial resolution of Landsat images (30</w:t>
      </w:r>
      <w:r>
        <w:rPr>
          <w:rFonts w:eastAsia="Arial"/>
          <w:sz w:val="24"/>
        </w:rPr>
        <w:t xml:space="preserve"> </w:t>
      </w:r>
      <w:r w:rsidRPr="00C1362F">
        <w:rPr>
          <w:rFonts w:eastAsia="Arial"/>
          <w:sz w:val="24"/>
        </w:rPr>
        <w:t xml:space="preserve">m, every 8 days). We first extracted MODIS images from the Nadir Bidirectional Reflectance Distribution Function </w:t>
      </w:r>
      <w:r w:rsidRPr="00C1362F">
        <w:rPr>
          <w:rFonts w:eastAsia="Arial"/>
          <w:sz w:val="24"/>
        </w:rPr>
        <w:lastRenderedPageBreak/>
        <w:t xml:space="preserve">Adjusted Reflectance (NBAR) product (MCD43A4 V6) </w:t>
      </w:r>
      <w:r w:rsidRPr="00C1362F">
        <w:rPr>
          <w:rFonts w:eastAsia="Arial"/>
          <w:sz w:val="24"/>
        </w:rPr>
        <w:fldChar w:fldCharType="begin" w:fldLock="1"/>
      </w:r>
      <w:r w:rsidRPr="00C1362F">
        <w:rPr>
          <w:rFonts w:eastAsia="Arial"/>
          <w:sz w:val="24"/>
        </w:rPr>
        <w:instrText>ADDIN CSL_CITATION {"citationItems":[{"id":"ITEM-1","itemData":{"DOI":"10.5067/MODIS/MCD43A4.061","abstract":"The MODIS MCD43A4 Version 6 Nadir Bidirectional reflectance distribution function Adjusted Reflectance (NBAR) data set is a daily 16-day product. The Julian date in the granule ID of each specific file represents the 9th day of the 16 day retrieval period, and consequently the observations are weighted to estimate the Albedo for that day. The MCD43A4 algorithm, as is with all combined products, has the luxury of choosing the best representative pixel from a pool that includes all the acquisitions from both the Terra and Aqua sensors from the retrieval period. The MCD43A4 provides the 500 meter reflectance data of the MODIS “land” bands 1-7 adjusted using the bidirectional reflectance distribution function to model the values as if they were collected from a nadir view. The MODIS BRDF/Albedo products have achieved stage 3 validation.","author":[{"dropping-particle":"","family":"Schaaf","given":"C","non-dropping-particle":"","parse-names":false,"suffix":""},{"dropping-particle":"","family":"Wang","given":"Z","non-dropping-particle":"","parse-names":false,"suffix":""}],"container-title":"NASA EOSDIS Land Processes DAAC","id":"ITEM-1","issued":{"date-parts":[["2015"]]},"title":"MODIS/Terra and Aqua Nadir BRDF-Adjusted Reflectance Daily L3 Global 500 m SIN Grid V006","type":"webpage"},"uris":["http://www.mendeley.com/documents/?uuid=f3fe3afb-8703-461c-b591-ee3e16530d00"]}],"mendeley":{"formattedCitation":"(Schaaf &amp; Wang, 2015)","plainTextFormattedCitation":"(Schaaf &amp; Wang, 2015)","previouslyFormattedCitation":"(Schaaf &amp; Wang, 2015)"},"properties":{"noteIndex":0},"schema":"https://github.com/citation-style-language/schema/raw/master/csl-citation.json"}</w:instrText>
      </w:r>
      <w:r w:rsidRPr="00C1362F">
        <w:rPr>
          <w:rFonts w:eastAsia="Arial"/>
          <w:sz w:val="24"/>
        </w:rPr>
        <w:fldChar w:fldCharType="separate"/>
      </w:r>
      <w:r w:rsidRPr="00C1362F">
        <w:rPr>
          <w:rFonts w:eastAsia="Arial"/>
          <w:noProof/>
          <w:sz w:val="24"/>
        </w:rPr>
        <w:t>(Schaaf &amp; Wang, 2015)</w:t>
      </w:r>
      <w:r w:rsidRPr="00C1362F">
        <w:rPr>
          <w:rFonts w:eastAsia="Arial"/>
          <w:sz w:val="24"/>
        </w:rPr>
        <w:fldChar w:fldCharType="end"/>
      </w:r>
      <w:r w:rsidRPr="00C1362F">
        <w:rPr>
          <w:rFonts w:eastAsia="Arial"/>
          <w:sz w:val="24"/>
        </w:rPr>
        <w:t xml:space="preserve"> for the study sites, followed by the application of </w:t>
      </w:r>
      <w:r>
        <w:rPr>
          <w:rFonts w:eastAsia="Arial"/>
          <w:sz w:val="24"/>
        </w:rPr>
        <w:t xml:space="preserve">standard </w:t>
      </w:r>
      <w:r w:rsidRPr="00C1362F">
        <w:rPr>
          <w:rFonts w:eastAsia="Arial"/>
          <w:sz w:val="24"/>
        </w:rPr>
        <w:t xml:space="preserve">QC measures, which included the removal of cloudy pixels using the cloud bitmask and the exclusion of snow-covered pixels based on the normalized difference snow index </w:t>
      </w:r>
      <w:r w:rsidRPr="00C1362F">
        <w:rPr>
          <w:rFonts w:eastAsia="Arial"/>
          <w:sz w:val="24"/>
        </w:rPr>
        <w:fldChar w:fldCharType="begin" w:fldLock="1"/>
      </w:r>
      <w:r w:rsidRPr="00C1362F">
        <w:rPr>
          <w:rFonts w:eastAsia="Arial"/>
          <w:sz w:val="24"/>
        </w:rPr>
        <w:instrText>ADDIN CSL_CITATION {"citationItems":[{"id":"ITEM-1","itemData":{"DOI":"10.1016/S0034-4257(02)00095-0","ISSN":"00344257","abstract":"On December 18, 1999, the Terra satellite was launched with a complement of five instruments including the Moderate Resolution Imaging Spectroradiometer (MODIS). Many geophysical products are derived from MODIS data including global snow-cover products. MODIS snow and ice products have been available through the National Snow and Ice Data Center (NSIDC) Distributed Active Archive Center (DAAC) since September 13, 2000. MODIS snow-cover products represent potential improvement to or enhancement of the currently available operational products mainly because the MODIS products are global and 500-m resolution, and have the capability to separate most snow and clouds. The MODIS snow-mapping algorithms are automated, which means that a consistent data set may be generated for long-term climate studies that require snow-cover information. Extensive quality assurance (QA) information is stored with the products. The MODIS snow product suite begins with a 500-m resolution, 2330-km swath snow-cover map, which is then gridded to an integerized sinusoidal grid to produce daily and 8-day composite tile products. The sequence proceeds to a climate-modeling grid (CMG) product at 0.05° resolution, with both daily and 8-day composite products. Each pixel of the daily CMG contains fraction of snow cover from 40% to 100%. Measured errors of commission in the CMG are low, for example, on the continent of Australia in the spring, they vary from 0.02% to 0.10%. Near-term enhancements include daily snow albedo and fractional snow cover. A case study from March 6, 2000, involving MODIS data and field and aircraft measurements, is presented to show some early validation work. © 2002 Elsevier Science Inc. All rights reserved.","author":[{"dropping-particle":"","family":"Hall","given":"Dorothy K.","non-dropping-particle":"","parse-names":false,"suffix":""},{"dropping-particle":"","family":"Riggs","given":"George A.","non-dropping-particle":"","parse-names":false,"suffix":""},{"dropping-particle":"V.","family":"Salomonson","given":"Vincent","non-dropping-particle":"","parse-names":false,"suffix":""},{"dropping-particle":"","family":"DiGirolamo","given":"Nicolo E.","non-dropping-particle":"","parse-names":false,"suffix":""},{"dropping-particle":"","family":"Bayr","given":"Klaus J.","non-dropping-particle":"","parse-names":false,"suffix":""}],"container-title":"Remote Sensing of Environment","id":"ITEM-1","issue":"1-2","issued":{"date-parts":[["2002"]]},"page":"181-194","title":"MODIS snow-cover products","type":"article-journal","volume":"83"},"uris":["http://www.mendeley.com/documents/?uuid=69aeeff8-ea8e-4581-8050-28edcc8aa62b"]}],"mendeley":{"formattedCitation":"(Hall et al., 2002)","plainTextFormattedCitation":"(Hall et al., 2002)","previouslyFormattedCitation":"(Hall et al., 2002)"},"properties":{"noteIndex":0},"schema":"https://github.com/citation-style-language/schema/raw/master/csl-citation.json"}</w:instrText>
      </w:r>
      <w:r w:rsidRPr="00C1362F">
        <w:rPr>
          <w:rFonts w:eastAsia="Arial"/>
          <w:sz w:val="24"/>
        </w:rPr>
        <w:fldChar w:fldCharType="separate"/>
      </w:r>
      <w:r w:rsidRPr="00C1362F">
        <w:rPr>
          <w:rFonts w:eastAsia="Arial"/>
          <w:noProof/>
          <w:sz w:val="24"/>
        </w:rPr>
        <w:t>(Hall et al., 2002)</w:t>
      </w:r>
      <w:r w:rsidRPr="00C1362F">
        <w:rPr>
          <w:rFonts w:eastAsia="Arial"/>
          <w:sz w:val="24"/>
        </w:rPr>
        <w:fldChar w:fldCharType="end"/>
      </w:r>
      <w:r w:rsidRPr="00C1362F">
        <w:rPr>
          <w:rFonts w:eastAsia="Arial"/>
          <w:sz w:val="24"/>
        </w:rPr>
        <w:t xml:space="preserve">. Subsequently, we calculated temporal averages </w:t>
      </w:r>
      <w:r>
        <w:rPr>
          <w:rFonts w:eastAsia="Arial"/>
          <w:sz w:val="24"/>
        </w:rPr>
        <w:t xml:space="preserve">at the pixel level </w:t>
      </w:r>
      <w:r w:rsidRPr="00C1362F">
        <w:rPr>
          <w:rFonts w:eastAsia="Arial"/>
          <w:sz w:val="24"/>
        </w:rPr>
        <w:t>over a 20-day moving window as a smoothed dataset</w:t>
      </w:r>
      <w:r>
        <w:rPr>
          <w:rFonts w:eastAsia="Arial"/>
          <w:sz w:val="24"/>
        </w:rPr>
        <w:t>, which was used</w:t>
      </w:r>
      <w:r w:rsidRPr="00C1362F">
        <w:rPr>
          <w:rFonts w:eastAsia="Arial"/>
          <w:sz w:val="24"/>
        </w:rPr>
        <w:t xml:space="preserve"> to replace missing data or cropped pixels from the previous step. The Landsat images were combined from Landsat 5, 7, and 8 surface reflectance products from Collection 2 </w:t>
      </w:r>
      <w:bookmarkStart w:id="6" w:name="_Hlk153888490"/>
      <w:r w:rsidRPr="00C1362F">
        <w:rPr>
          <w:rFonts w:eastAsia="Arial"/>
          <w:sz w:val="24"/>
        </w:rPr>
        <w:fldChar w:fldCharType="begin" w:fldLock="1"/>
      </w:r>
      <w:r w:rsidRPr="00C1362F">
        <w:rPr>
          <w:rFonts w:eastAsia="Arial"/>
          <w:sz w:val="24"/>
        </w:rPr>
        <w:instrText>ADDIN CSL_CITATION {"citationItems":[{"id":"ITEM-1","itemData":{"DOI":"10.1016/j.rse.2014.02.001","ISSN":"00344257","abstract":"Landsat 8, a NASA and USGS collaboration, acquires global moderate-resolution measurements of the Earth's terrestrial and polar regions in the visible, near-infrared, short wave, and thermal infrared. Landsat 8 extends the remarkable 40. year Landsat record and has enhanced capabilities including new spectral bands in the blue and cirrus cloud-detection portion of the spectrum, two thermal bands, improved sensor signal-to-noise performance and associated improvements in radiometric resolution, and an improved duty cycle that allows collection of a significantly greater number of images per day. This paper introduces the current (2012-2017) Landsat Science Team's efforts to establish an initial understanding of Landsat 8 capabilities and the steps ahead in support of priorities identified by the team. Preliminary evaluation of Landsat 8 capabilities and identification of new science and applications opportunities are described with respect to calibration and radiometric characterization; surface reflectance; surface albedo; surface temperature, evapotranspiration and drought; agriculture; land cover, condition, disturbance and change; fresh and coastal water; and snow and ice. Insights into the development of derived 'higher-level' Landsat products are provided in recognition of the growing need for consistently processed, moderate spatial resolution, large area, long-term terrestrial data records for resource management and for climate and global change studies. The paper concludes with future prospects, emphasizing the opportunities for land imaging constellations by combining Landsat data with data collected from other international sensing systems, and consideration of successor Landsat mission requirements. © 2014.","author":[{"dropping-particle":"","family":"Roy","given":"D. P.","non-dropping-particle":"","parse-names":false,"suffix":""},{"dropping-particle":"","family":"Wulder","given":"M. A.","non-dropping-particle":"","parse-names":false,"suffix":""},{"dropping-particle":"","family":"Loveland","given":"T. R.","non-dropping-particle":"","parse-names":false,"suffix":""},{"dropping-particle":"","family":"C.E.","given":"Woodcock","non-dropping-particle":"","parse-names":false,"suffix":""},{"dropping-particle":"","family":"Allen","given":"R. G.","non-dropping-particle":"","parse-names":false,"suffix":""},{"dropping-particle":"","family":"Anderson","given":"M. C.","non-dropping-particle":"","parse-names":false,"suffix":""},{"dropping-particle":"","family":"Helder","given":"D.","non-dropping-particle":"","parse-names":false,"suffix":""},{"dropping-particle":"","family":"Irons","given":"J. R.","non-dropping-particle":"","parse-names":false,"suffix":""},{"dropping-particle":"","family":"Johnson","given":"D. M.","non-dropping-particle":"","parse-names":false,"suffix":""},{"dropping-particle":"","family":"Kennedy","given":"R.","non-dropping-particle":"","parse-names":false,"suffix":""},{"dropping-particle":"","family":"Scambos","given":"T. A.","non-dropping-particle":"","parse-names":false,"suffix":""},{"dropping-particle":"","family":"Schaaf","given":"C. B.","non-dropping-particle":"","parse-names":false,"suffix":""},{"dropping-particle":"","family":"Schott","given":"J. R.","non-dropping-particle":"","parse-names":false,"suffix":""},{"dropping-particle":"","family":"Sheng","given":"Y.","non-dropping-particle":"","parse-names":false,"suffix":""},{"dropping-particle":"","family":"Vermote","given":"E. F.","non-dropping-particle":"","parse-names":false,"suffix":""},{"dropping-particle":"","family":"Belward","given":"A. S.","non-dropping-particle":"","parse-names":false,"suffix":""},{"dropping-particle":"","family":"Bindschadler","given":"R.","non-dropping-particle":"","parse-names":false,"suffix":""},{"dropping-particle":"","family":"Cohen","given":"W. B.","non-dropping-particle":"","parse-names":false,"suffix":""},{"dropping-particle":"","family":"Gao","given":"F.","non-dropping-particle":"","parse-names":false,"suffix":""},{"dropping-particle":"","family":"Hipple","given":"J. D.","non-dropping-particle":"","parse-names":false,"suffix":""},{"dropping-particle":"","family":"Hostert","given":"P.","non-dropping-particle":"","parse-names":false,"suffix":""},{"dropping-particle":"","family":"Huntington","given":"J.","non-dropping-particle":"","parse-names":false,"suffix":""},{"dropping-particle":"","family":"Justice","given":"C. O.","non-dropping-particle":"","parse-names":false,"suffix":""},{"dropping-particle":"","family":"Kilic","given":"A.","non-dropping-particle":"","parse-names":false,"suffix":""},{"dropping-particle":"","family":"Kovalskyy","given":"V.","non-dropping-particle":"","parse-names":false,"suffix":""},{"dropping-particle":"","family":"Lee","given":"Z. P.","non-dropping-particle":"","parse-names":false,"suffix":""},{"dropping-particle":"","family":"Lymburner","given":"L.","non-dropping-particle":"","parse-names":false,"suffix":""},{"dropping-particle":"","family":"Masek","given":"J. G.","non-dropping-particle":"","parse-names":false,"suffix":""},{"dropping-particle":"","family":"McCorkel","given":"J.","non-dropping-particle":"","parse-names":false,"suffix":""},{"dropping-particle":"","family":"Shuai","given":"Y.","non-dropping-particle":"","parse-names":false,"suffix":""},{"dropping-particle":"","family":"Trezza","given":"R.","non-dropping-particle":"","parse-names":false,"suffix":""},{"dropping-particle":"","family":"Vogelmann","given":"J.","non-dropping-particle":"","parse-names":false,"suffix":""},{"dropping-particle":"","family":"Wynne","given":"R. H.","non-dropping-particle":"","parse-names":false,"suffix":""},{"dropping-particle":"","family":"Zhu","given":"Z.","non-dropping-particle":"","parse-names":false,"suffix":""}],"container-title":"Remote Sensing of Environment","id":"ITEM-1","issued":{"date-parts":[["2014"]]},"page":"154-172","title":"Landsat-8: Science and product vision for terrestrial global change research","type":"article-journal","volume":"145"},"uris":["http://www.mendeley.com/documents/?uuid=88324f50-82a3-436c-ad47-4828badb881a"]},{"id":"ITEM-2","itemData":{"DOI":"10.14358/PERS.72.10.1171","ISSN":"00991112","abstract":"Landsat, first placed in orbit in 1972, established the U.S. as the world leader in land remote sensing. The Landsat system has contributed significantly to the understanding of the Earth's environment, spawned revolutionary uses of space-based data by the commercial value-added industry, and encouraged a new generation of commercial satellites that provide regional, high-resolution spatial images. This PE&amp;RS Special Issue provides an update to the 1997 25th Landsat anniversary issue, particularly focused on the contribution of Landsat-7 to the 34+ year history of the Landsat mission. In this overview paper, we place the Landsat-7 system in context and show how mission operations have changed over time, increasingly exploiting the global monitoring capabilities of the Landsat observatory. Although considerable progress was made during the Landsat-7 era, there is much yet to learn about the historical record of Landsat global coverage: a truly valuable national treasure. The time to do so is now, as the memories of the early days of this historic program are fading as we speak. © 2006 American Society for Photogrammetry and Remote Sensing.","author":[{"dropping-particle":"","family":"Williams","given":"Darrel L.","non-dropping-particle":"","parse-names":false,"suffix":""},{"dropping-particle":"","family":"Goward","given":"Samuel","non-dropping-particle":"","parse-names":false,"suffix":""},{"dropping-particle":"","family":"Arvidson","given":"Terry","non-dropping-particle":"","parse-names":false,"suffix":""}],"container-title":"Photogrammetric Engineering and Remote Sensing","id":"ITEM-2","issue":"10","issued":{"date-parts":[["2006"]]},"page":"1171-1178","title":"Landsat: Yesterday, today, and tomorrow","type":"article-journal","volume":"72"},"uris":["http://www.mendeley.com/documents/?uuid=42d2ffcf-3cf4-40a7-aa06-fa892153bbc8"]},{"id":"ITEM-3","itemData":{"DOI":"10.1016/j.rse.2012.12.003","ISSN":"00344257","abstract":"With the advent of the free U.S. Landsat data policy it is now feasible to consider the generation of global coverage 30. m Landsat data sets with temporal reporting frequency similar to that provided by the monthly Web Enabled Landsat (WELD) products. A statistical Landsat metadata analysis is reported considering more than 800,000 Landsat 5 TM and Landsat 7 ETM. + acquisitions obtained from the U.S. Geological Survey (USGS) Earth Resources Observation and Science (EROS) Center archive. The global monthly probabilities of acquiring a cloud-free land surface observation for December 1998 to November 2001 (2000 epoch) and from December 2008 to November 2011 (2010 epoch) are reported to assess the availability of the Landsat data in the USGS Landsat archive for global multi-temporal land remote sensing applications. The global probabilities of acquiring a cloud-free land surface observation in each of three different seasons with the highest seasonal probabilities of cloud-free land surface observation are reported, considering one, two and three years of Landsat data, to assess the availability of Landsat data for global land cover mapping. The probabilities are derived considering Landsat 5 TM only, Landsat 7 ETM. + only, and both sensors combined, to examine the relative benefits of using one or both Landsat sensors. The results demonstrate the utility of combing both Landsat 5 TM and Landsat 7 ETM. + data streams to take advantage of their different acquisition patterns and to mitigate the deleterious impact of the Landsat 7 ETM. + 2003 scan line failure. Sensor combination provided a greater global acquisition coverage with a 1.7% to 14.4% higher percentage of land locations acquired monthly compared to considering Landsat 7 ETM. + data alone. The mean global monthly probability of a cloud-free land surface observation for the combined sensors was up to nearly 1.4 and 6.7 times greater than for ETM. + and TM alone respectively. The probability of acquiring a cloud-free Landsat land surface observation in different seasons was greater when more years of data were considered and when both Landsat sensor data were combined. Considering combined sensors and 36. months of data, 86.4% and 84.2% of the global land locations had probabilities ≥0.95 for the 2000 and 2010 epochs respectively, with a global mean probability of 0.92 (σ 0.24) for the 2000 epoch and 0.90 (σ 0.28) for the 2010 epoch. These results indicate that 36. months of combined Landsat sensor…","author":[{"dropping-particle":"","family":"Kovalskyy","given":"V.","non-dropping-particle":"","parse-names":false,"suffix":""},{"dropping-particle":"","family":"Roy","given":"D. P.","non-dropping-particle":"","parse-names":false,"suffix":""}],"container-title":"Remote Sensing of Environment","id":"ITEM-3","issued":{"date-parts":[["2013"]]},"page":"280-293","title":"The global availability of Landsat 5 TM and Landsat 7 ETM+ land surface observations and implications for global 30m Landsat data product generation","type":"article-journal","volume":"130"},"uris":["http://www.mendeley.com/documents/?uuid=ebdad542-66dc-4886-8392-ee5107f53cd7"]}],"mendeley":{"formattedCitation":"(Kovalskyy &amp; Roy, 2013; Roy et al., 2014; Williams et al., 2006)","plainTextFormattedCitation":"(Kovalskyy &amp; Roy, 2013; Roy et al., 2014; Williams et al., 2006)","previouslyFormattedCitation":"(Kovalskyy &amp; Roy, 2013; Roy et al., 2014; Williams et al., 2006)"},"properties":{"noteIndex":0},"schema":"https://github.com/citation-style-language/schema/raw/master/csl-citation.json"}</w:instrText>
      </w:r>
      <w:r w:rsidRPr="00C1362F">
        <w:rPr>
          <w:rFonts w:eastAsia="Arial"/>
          <w:sz w:val="24"/>
        </w:rPr>
        <w:fldChar w:fldCharType="separate"/>
      </w:r>
      <w:r w:rsidRPr="00C1362F">
        <w:rPr>
          <w:rFonts w:eastAsia="Arial"/>
          <w:noProof/>
          <w:sz w:val="24"/>
        </w:rPr>
        <w:t>(Kovalskyy &amp; Roy, 2013; Roy et al., 2014; Williams et al., 2006)</w:t>
      </w:r>
      <w:r w:rsidRPr="00C1362F">
        <w:rPr>
          <w:rFonts w:eastAsia="Arial"/>
          <w:sz w:val="24"/>
        </w:rPr>
        <w:fldChar w:fldCharType="end"/>
      </w:r>
      <w:bookmarkEnd w:id="6"/>
      <w:r w:rsidRPr="00C1362F">
        <w:rPr>
          <w:rFonts w:eastAsia="Arial"/>
          <w:sz w:val="24"/>
        </w:rPr>
        <w:t xml:space="preserve"> to derive long-term records</w:t>
      </w:r>
      <w:r>
        <w:rPr>
          <w:rFonts w:eastAsia="Arial"/>
          <w:sz w:val="24"/>
        </w:rPr>
        <w:t xml:space="preserve"> with finer 8-day </w:t>
      </w:r>
      <w:r w:rsidRPr="00EF0B28">
        <w:rPr>
          <w:rFonts w:eastAsia="Arial"/>
          <w:sz w:val="24"/>
        </w:rPr>
        <w:t>temporal fidelity</w:t>
      </w:r>
      <w:r>
        <w:rPr>
          <w:rFonts w:eastAsia="Arial"/>
          <w:sz w:val="24"/>
        </w:rPr>
        <w:t xml:space="preserve"> </w:t>
      </w:r>
      <w:r w:rsidRPr="00EF0B28">
        <w:rPr>
          <w:rFonts w:eastAsia="Arial"/>
          <w:sz w:val="24"/>
        </w:rPr>
        <w:t>than the standard 16-day repeat sampling from individual Landsat satellites</w:t>
      </w:r>
      <w:r w:rsidRPr="00C1362F">
        <w:rPr>
          <w:rFonts w:eastAsia="Arial"/>
          <w:sz w:val="24"/>
        </w:rPr>
        <w:t xml:space="preserve">. QC was carried out to first exclude cloudy and snow-covered pixels using the dilated cloud, cirrus, cloud shadow, and snow bitmasks. </w:t>
      </w:r>
      <w:r w:rsidR="00F250BE" w:rsidRPr="00F250BE">
        <w:rPr>
          <w:rFonts w:eastAsia="Arial"/>
          <w:sz w:val="24"/>
        </w:rPr>
        <w:t>After applying the dilated cloud bitmask, haze and thin cloud edges were often still present based on visual assessment of Landsat imagery. These cloud remnants were removed by</w:t>
      </w:r>
      <w:r w:rsidR="00F250BE">
        <w:rPr>
          <w:rFonts w:eastAsia="Arial"/>
          <w:sz w:val="24"/>
        </w:rPr>
        <w:t xml:space="preserve"> applying </w:t>
      </w:r>
      <w:r w:rsidRPr="00C1362F">
        <w:rPr>
          <w:rFonts w:eastAsia="Arial"/>
          <w:sz w:val="24"/>
        </w:rPr>
        <w:t xml:space="preserve">an additional 15-pixel </w:t>
      </w:r>
      <w:r>
        <w:rPr>
          <w:rFonts w:eastAsia="Arial"/>
          <w:sz w:val="24"/>
        </w:rPr>
        <w:t xml:space="preserve">radius </w:t>
      </w:r>
      <w:r w:rsidRPr="00C1362F">
        <w:rPr>
          <w:rFonts w:eastAsia="Arial"/>
          <w:sz w:val="24"/>
        </w:rPr>
        <w:t xml:space="preserve">buffer. Images containing considerable cloud and snow contamination (&gt;60%) were removed from the time series. To account for Landsat 7 scan-line gaps </w:t>
      </w:r>
      <w:r w:rsidRPr="00267B62">
        <w:rPr>
          <w:rFonts w:eastAsia="Arial"/>
          <w:sz w:val="24"/>
        </w:rPr>
        <w:t>and to recover image areas that were removed from the augmented cloud masking, the masked Landsat images were spatially gap-filled using local histogram matching</w:t>
      </w:r>
      <w:r>
        <w:rPr>
          <w:rFonts w:eastAsia="Arial"/>
          <w:sz w:val="24"/>
        </w:rPr>
        <w:t xml:space="preserve"> </w:t>
      </w:r>
      <w:r>
        <w:rPr>
          <w:rFonts w:eastAsia="Arial"/>
          <w:sz w:val="24"/>
        </w:rPr>
        <w:fldChar w:fldCharType="begin" w:fldLock="1"/>
      </w:r>
      <w:r>
        <w:rPr>
          <w:rFonts w:eastAsia="Arial"/>
          <w:sz w:val="24"/>
        </w:rPr>
        <w:instrText>ADDIN CSL_CITATION {"citationItems":[{"id":"ITEM-1","itemData":{"URL":"https://www.usgs.gov/media/files/landsat-7-slc-gap-filled-products-phase-two-methodology","abstract":"El propósito del presente estudio fue conocer la percepción del adolescente que estudia preparatoria, sobre la funcionalidad familiar de la familia a la cual pertenece y determinar si existían diferencias de tal funcionalidad con las variables edad, sexo, y tipo de familia. El estudio se basó en el Marco de Organización Sistèmico de Marie Luise Friedemann (1994), que describe a la familia desde la perspectiva sistèmica donde los individuos son vistos como subsistemas del sistema familiar total, en el cual se logra la funcionalidad a través de la congruencia de cuatro procesos familiares y que son susceptibles de ser afectados, coherencia, individuación, cambio del sistema y mantenimiento del sistema. El","accessed":{"date-parts":[["2023","10","1"]]},"author":[{"dropping-particle":"","family":"United States Geological Survey","given":"","non-dropping-particle":"","parse-names":false,"suffix":""}],"container-title":"Landsat Missions","id":"ITEM-1","issued":{"date-parts":[["2019"]]},"page":"1-12","title":"Phase 2 gap-fill algorithm: SLC-off gap-filled products gap-fill algorithm methodology","type":"webpage"},"uris":["http://www.mendeley.com/documents/?uuid=0e2c3f7f-62ba-4c71-a0bd-984b8a62482d"]}],"mendeley":{"formattedCitation":"(United States Geological Survey, 2019)","manualFormatting":"(USGS, 2004)","plainTextFormattedCitation":"(United States Geological Survey, 2019)","previouslyFormattedCitation":"(United States Geological Survey, 2019)"},"properties":{"noteIndex":0},"schema":"https://github.com/citation-style-language/schema/raw/master/csl-citation.json"}</w:instrText>
      </w:r>
      <w:r>
        <w:rPr>
          <w:rFonts w:eastAsia="Arial"/>
          <w:sz w:val="24"/>
        </w:rPr>
        <w:fldChar w:fldCharType="separate"/>
      </w:r>
      <w:r w:rsidRPr="00267B62">
        <w:rPr>
          <w:rFonts w:eastAsia="Arial"/>
          <w:noProof/>
          <w:sz w:val="24"/>
        </w:rPr>
        <w:t>(USGS, 2004)</w:t>
      </w:r>
      <w:r>
        <w:rPr>
          <w:rFonts w:eastAsia="Arial"/>
          <w:sz w:val="24"/>
        </w:rPr>
        <w:fldChar w:fldCharType="end"/>
      </w:r>
      <w:r w:rsidRPr="00C1362F">
        <w:rPr>
          <w:rFonts w:eastAsia="Arial"/>
          <w:sz w:val="24"/>
        </w:rPr>
        <w:t xml:space="preserve">. </w:t>
      </w:r>
      <w:r w:rsidRPr="00B8698F">
        <w:rPr>
          <w:rFonts w:eastAsia="Arial"/>
          <w:sz w:val="24"/>
        </w:rPr>
        <w:t>First, a median composite image was generated with the nearest two months of imagery. A linear regression determined the line of best fit between pixels in the composite image and pixels in the cloud-masked image within a 50-pixel moving window. Linear regression coefficients within each moving window were applied to the composite image to fill no data pixels in the masked image</w:t>
      </w:r>
      <w:r w:rsidRPr="00C1362F">
        <w:rPr>
          <w:rFonts w:eastAsia="Arial"/>
          <w:sz w:val="24"/>
        </w:rPr>
        <w:t>. Finally, pixels containing water were removed using the water bitmask.</w:t>
      </w:r>
    </w:p>
    <w:p w14:paraId="16C88075" w14:textId="77777777" w:rsidR="00F25462" w:rsidRPr="00C1362F" w:rsidRDefault="00F25462" w:rsidP="00F25462">
      <w:pPr>
        <w:spacing w:before="120"/>
        <w:ind w:firstLine="720"/>
        <w:jc w:val="both"/>
        <w:rPr>
          <w:rFonts w:eastAsia="Arial"/>
          <w:sz w:val="24"/>
        </w:rPr>
      </w:pPr>
      <w:r w:rsidRPr="00C1362F">
        <w:rPr>
          <w:rFonts w:eastAsia="Arial"/>
          <w:sz w:val="24"/>
        </w:rPr>
        <w:t xml:space="preserve">The extracted MODIS and Landsat scenes which overlapped on same dates were then utilized by the STARFM algorithm </w:t>
      </w:r>
      <w:r w:rsidRPr="00C1362F">
        <w:rPr>
          <w:rFonts w:eastAsia="Arial"/>
          <w:sz w:val="24"/>
        </w:rPr>
        <w:fldChar w:fldCharType="begin" w:fldLock="1"/>
      </w:r>
      <w:r>
        <w:rPr>
          <w:rFonts w:eastAsia="Arial"/>
          <w:sz w:val="24"/>
        </w:rPr>
        <w:instrText>ADDIN CSL_CITATION {"citationItems":[{"id":"ITEM-1","itemData":{"DOI":"10.1109/TGRS.2006.872081","ISSN":"01962892","abstract":"The 16-day revisit cycle of Landsat has long limited its use for studying global biophysical processes, which evolve rapidly during the growing season. In cloudy areas of the Earth, the problem is compounded, and researchers are fortunate to get two to three clear images per year. At the same time, the coarse resolution of sensors such as the Advanced Very High Resolution Radiometer and Moderate Resolution Imaging Spectroradiometer (MODIS) limits the sensors' ability to quantify biophysical processes in heterogeneous landscapes. In this paper, the authors present a new spatial and temporal adaptive reflectance fusion model (STARFM) algorithm to blend Landsat and MODIS surface reflectance. Using this approach, high-frequency temporal information from MODIS and high-resolution spatial information from Landsat can be blended for applications that require high resolution in both time and space. The MODIS daily 500-m surface reflectance and the 16-day repeat cycle Landsat Enhanced Thematic Mapper Plus (ETM+) 30-m surface reflectance are used to produce a synthetic \"daily\" surface reflectance product at ETM+ spatial resolution. The authors present results both with simulated (model) data and actual Landsat/MODIS acquisitions. In general, the STARFM accurately predicts surface reflectance at an effective resolution close to that of the ETM+. However, the performance depends on the characteristic patch size of the landscape and degrades somewhat when used on extremely heterogeneous fine-grained landscapes. © 2006 IEEE.","author":[{"dropping-particle":"","family":"Gao","given":"Feng","non-dropping-particle":"","parse-names":false,"suffix":""},{"dropping-particle":"","family":"Masek","given":"Jeff","non-dropping-particle":"","parse-names":false,"suffix":""},{"dropping-particle":"","family":"Schwaller","given":"Matt","non-dropping-particle":"","parse-names":false,"suffix":""},{"dropping-particle":"","family":"Hall","given":"Forrest","non-dropping-particle":"","parse-names":false,"suffix":""}],"container-title":"IEEE Transactions on Geoscience and Remote Sensing","id":"ITEM-1","issue":"8","issued":{"date-parts":[["2006"]]},"page":"2207-2218","title":"On the blending of the landsat and MODIS surface reflectance: Predicting daily landsat surface reflectance","type":"article-journal","volume":"44"},"uris":["http://www.mendeley.com/documents/?uuid=c616ddaf-c933-4ec5-a503-a7c5a8c81839"]},{"id":"ITEM-2","itemData":{"DOI":"10.1016/j.rse.2010.08.005","ISSN":"00344257","abstract":"Conservation tillage management has been advocated for carbon sequestration and soil quality preservation purposes. Past satellite image analyses have had difficulty in differentiating between no-till (NT) and minimal tillage (MT) conservation classes due to similarities in surface residues, and may have been restricted by the availability of cloud-free satellite imagery. This study hypothesized that the inclusion of high temporal data into the classification process would increase conservation tillage accuracy due to the added likelihood of capturing spectral changes in MT fields following a tillage disturbance. Classification accuracies were evaluated for Random Forest models based on 250-m and 500-m MODIS, 30-m Landsat, and 30-m synthetic reflectance values. Synthetic (30-m) data derived from the Spatial and Temporal Adaptive Reflectance Fusion Model (STARFM) were evaluated because high frequency Landsat image sets are often unavailable within a cropping season due to cloud issues. Classification results from a five-date Landsat model were substantially better than those reported by previous classification tillage studies, with 94% total and ≥ 88% class producer's accuracies. Landsat-derived models based on individual image scenes (May through August) yielded poor MT classifications, but a monthly increase in accuracy illustrated the importance of temporal sampling for capturing regional tillage disturbance signatures. MODIS-based model accuracies (90% total; ≥ 82% class) were lower than in the five-date Landsat model, but were higher than previous image-based and survey-based tillage classification results. Almost all the STARFM prediction-based models had classification accuracies higher than, or comparable to, the MODIS-based results (&gt; 90% total; ≥ 84% class) but the resulting model accuracies were dependent on the MODIS/Landsat base pairs used to generate the STARFM predictions. Also evident within the STARFM prediction-based models was the ability for high frequency data series to compensate for degraded synthetic spectral values when classifying field-based tillage. The decision to use MODIS or STARFM-based data within conservation tillage analysis is likely situation dependent. A MODIS-based approach requires little data processing and could be more efficient for large-area mapping; however a STARFM-based analysis might be more appropriate in mixed-pixel situations that could potentially compromise classification accuracy. © 2010 Elsevier Inc.","author":[{"dropping-particle":"","family":"Watts","given":"Jennifer D.","non-dropping-particle":"","parse-names":false,"suffix":""},{"dropping-particle":"","family":"Powell","given":"Scott L.","non-dropping-particle":"","parse-names":false,"suffix":""},{"dropping-particle":"","family":"Lawrence","given":"Rick L.","non-dropping-particle":"","parse-names":false,"suffix":""},{"dropping-particle":"","family":"Hilker","given":"Thomas","non-dropping-particle":"","parse-names":false,"suffix":""}],"container-title":"Remote Sensing of Environment","id":"ITEM-2","issue":"1","issued":{"date-parts":[["2011"]]},"page":"66-75","title":"Improved classification of conservation tillage adoption using high temporal and synthetic satellite imagery","type":"article-journal","volume":"115"},"uris":["http://www.mendeley.com/documents/?uuid=208684cf-f0ac-42d4-91fb-75b9c6fdf50f"]}],"mendeley":{"formattedCitation":"(F. Gao et al., 2006; Watts et al., 2011)","manualFormatting":"(Gao et al., 2006; Watts et al., 2011)","plainTextFormattedCitation":"(F. Gao et al., 2006; Watts et al., 2011)","previouslyFormattedCitation":"(F. Gao et al., 2006; Watts et al., 2011)"},"properties":{"noteIndex":0},"schema":"https://github.com/citation-style-language/schema/raw/master/csl-citation.json"}</w:instrText>
      </w:r>
      <w:r w:rsidRPr="00C1362F">
        <w:rPr>
          <w:rFonts w:eastAsia="Arial"/>
          <w:sz w:val="24"/>
        </w:rPr>
        <w:fldChar w:fldCharType="separate"/>
      </w:r>
      <w:r w:rsidRPr="005879DA">
        <w:rPr>
          <w:rFonts w:eastAsia="Arial"/>
          <w:noProof/>
          <w:sz w:val="24"/>
        </w:rPr>
        <w:t>(Gao et al., 2006; Watts et al., 2011)</w:t>
      </w:r>
      <w:r w:rsidRPr="00C1362F">
        <w:rPr>
          <w:rFonts w:eastAsia="Arial"/>
          <w:sz w:val="24"/>
        </w:rPr>
        <w:fldChar w:fldCharType="end"/>
      </w:r>
      <w:r w:rsidRPr="00C1362F">
        <w:rPr>
          <w:rFonts w:eastAsia="Arial"/>
          <w:sz w:val="24"/>
        </w:rPr>
        <w:t xml:space="preserve"> to develop surface reflectance estimates at a 30 m spatial resolution and 5-day temporal frequency for individual bands. The red (RED) and near</w:t>
      </w:r>
      <w:r>
        <w:rPr>
          <w:rFonts w:eastAsia="Arial"/>
          <w:sz w:val="24"/>
        </w:rPr>
        <w:t>-</w:t>
      </w:r>
      <w:r w:rsidRPr="00C1362F">
        <w:rPr>
          <w:rFonts w:eastAsia="Arial"/>
          <w:sz w:val="24"/>
        </w:rPr>
        <w:t>infrared (NIR) bands were used to derive the estimates of normalized difference vegetation index (NDVI</w:t>
      </w:r>
      <w:r>
        <w:rPr>
          <w:rFonts w:eastAsia="Arial"/>
          <w:sz w:val="24"/>
        </w:rPr>
        <w:t xml:space="preserve">; </w:t>
      </w:r>
      <w:r w:rsidRPr="00C1362F">
        <w:rPr>
          <w:rFonts w:eastAsia="Arial"/>
          <w:sz w:val="24"/>
        </w:rPr>
        <w:t xml:space="preserve">Eq. 1) </w:t>
      </w:r>
      <w:r w:rsidRPr="00C1362F">
        <w:rPr>
          <w:rFonts w:eastAsia="Arial"/>
          <w:sz w:val="24"/>
        </w:rPr>
        <w:fldChar w:fldCharType="begin" w:fldLock="1"/>
      </w:r>
      <w:r w:rsidRPr="00C1362F">
        <w:rPr>
          <w:rFonts w:eastAsia="Arial"/>
          <w:sz w:val="24"/>
        </w:rPr>
        <w:instrText>ADDIN CSL_CITATION {"citationItems":[{"id":"ITEM-1","itemData":{"DOI":"10.1016/0034-4257(79)90013-0","ISBN":"0034-4257","ISSN":"00344257","PMID":"175","abstract":"In situ collected spectrometer data were used to evaluate and quantify the relationships between various linear combinations of red and photographic infrared radiances and experimental plot biomass, leaf water content, and chlorophyll content. The radiance variables evaluated included the red and photographic infrared (IR) radiance and the linear combinations of the IR/red ratio, the square root of the IR/red ratio, the IR-red difference, the vegetation index, and the transformed vegetation index. In addition, the corresponding green and red linear combinations were evaluated for comparative purposes. Three data sets were used from June, September, and October sampling periods. Regression analysis showed the increased utility of the IR and red linear combinations vis-à-vis the same green and red linear combinations. The red and IR linear combinations had 7% and 14% greater regression significance than the green and red linear combinations for the June and September sampling periods, respectively. The vegetation index, transformed vegetation index, and square root of the IR/red ratio were the most significant, followed closely by the IR/red ratio. Less than a 6% difference separated the highest and lowest of these four ER and red linear combinations. The use of these linear combinations was shown to be sensitive primarily to the green leaf area or green leaf biomass. As such, these linear combinations of the red and photographic IR radiances can be employed to monitor the photosynthetically active biomass of plant canopies.","author":[{"dropping-particle":"","family":"Tucker","given":"Compton J","non-dropping-particle":"","parse-names":false,"suffix":""}],"container-title":"Remote Sensing of Environment","id":"ITEM-1","issue":"2","issued":{"date-parts":[["1979"]]},"page":"127-150","publisher":"Elsevier\\","title":"Red and photographic infrared linear combinations for monitoring vegetation","type":"article","volume":"8"},"uris":["http://www.mendeley.com/documents/?uuid=296806ea-0131-46d4-985a-6451dc96f453"]}],"mendeley":{"formattedCitation":"(Tucker, 1979)","plainTextFormattedCitation":"(Tucker, 1979)","previouslyFormattedCitation":"(Tucker, 1979)"},"properties":{"noteIndex":0},"schema":"https://github.com/citation-style-language/schema/raw/master/csl-citation.json"}</w:instrText>
      </w:r>
      <w:r w:rsidRPr="00C1362F">
        <w:rPr>
          <w:rFonts w:eastAsia="Arial"/>
          <w:sz w:val="24"/>
        </w:rPr>
        <w:fldChar w:fldCharType="separate"/>
      </w:r>
      <w:r w:rsidRPr="00C1362F">
        <w:rPr>
          <w:rFonts w:eastAsia="Arial"/>
          <w:noProof/>
          <w:sz w:val="24"/>
        </w:rPr>
        <w:t>(Tucker, 1979)</w:t>
      </w:r>
      <w:r w:rsidRPr="00C1362F">
        <w:rPr>
          <w:rFonts w:eastAsia="Arial"/>
          <w:sz w:val="24"/>
        </w:rPr>
        <w:fldChar w:fldCharType="end"/>
      </w:r>
      <w:r w:rsidRPr="00C1362F">
        <w:rPr>
          <w:rFonts w:eastAsia="Arial"/>
          <w:sz w:val="24"/>
        </w:rPr>
        <w:t xml:space="preserve"> and scaled surface reflectance (SSR</w:t>
      </w:r>
      <w:r>
        <w:rPr>
          <w:rFonts w:eastAsia="Arial"/>
          <w:sz w:val="24"/>
        </w:rPr>
        <w:t xml:space="preserve">; </w:t>
      </w:r>
      <w:r w:rsidRPr="00C1362F">
        <w:rPr>
          <w:rFonts w:eastAsia="Arial"/>
          <w:sz w:val="24"/>
        </w:rPr>
        <w:t xml:space="preserve">Eq. 2). Erroneous NDVI observations were filtered by removing values where the rolling 14-day median was greater than two times the rolling 365-day standard deviation. </w:t>
      </w:r>
      <w:r>
        <w:rPr>
          <w:rFonts w:ascii="Times" w:eastAsia="Arial" w:hAnsi="Times" w:cs="Arial"/>
          <w:sz w:val="24"/>
        </w:rPr>
        <w:t xml:space="preserve">This conservative filter mainly functioned to remove NDVI observations over snow and clouds that were missed during masking. </w:t>
      </w:r>
      <w:r w:rsidRPr="00C1362F">
        <w:rPr>
          <w:rFonts w:eastAsia="Arial"/>
          <w:sz w:val="24"/>
        </w:rPr>
        <w:t>Temporal gaps in NDVI were filled using linear interpolation.</w:t>
      </w:r>
    </w:p>
    <w:p w14:paraId="24F4BCE1" w14:textId="77777777" w:rsidR="00F25462" w:rsidRPr="008D30D6" w:rsidRDefault="00F25462" w:rsidP="00F25462">
      <w:pPr>
        <w:spacing w:before="120"/>
        <w:ind w:firstLine="720"/>
        <w:jc w:val="center"/>
        <w:rPr>
          <w:rFonts w:eastAsia="Arial"/>
          <w:iCs/>
          <w:sz w:val="24"/>
          <w:szCs w:val="24"/>
        </w:rPr>
      </w:pPr>
      <m:oMath>
        <m:r>
          <m:rPr>
            <m:sty m:val="p"/>
          </m:rPr>
          <w:rPr>
            <w:rFonts w:ascii="Cambria Math" w:eastAsia="Arial" w:hAnsi="Cambria Math"/>
            <w:sz w:val="24"/>
            <w:szCs w:val="24"/>
          </w:rPr>
          <m:t xml:space="preserve">NDVI= </m:t>
        </m:r>
        <m:f>
          <m:fPr>
            <m:ctrlPr>
              <w:rPr>
                <w:rFonts w:ascii="Cambria Math" w:eastAsia="Arial" w:hAnsi="Cambria Math"/>
                <w:iCs/>
                <w:sz w:val="24"/>
                <w:szCs w:val="24"/>
              </w:rPr>
            </m:ctrlPr>
          </m:fPr>
          <m:num>
            <m:r>
              <m:rPr>
                <m:sty m:val="p"/>
              </m:rPr>
              <w:rPr>
                <w:rFonts w:ascii="Cambria Math" w:eastAsia="Arial" w:hAnsi="Cambria Math"/>
                <w:sz w:val="24"/>
                <w:szCs w:val="24"/>
              </w:rPr>
              <m:t>NIR-RED</m:t>
            </m:r>
          </m:num>
          <m:den>
            <m:r>
              <m:rPr>
                <m:sty m:val="p"/>
              </m:rPr>
              <w:rPr>
                <w:rFonts w:ascii="Cambria Math" w:eastAsia="Arial" w:hAnsi="Cambria Math"/>
                <w:sz w:val="24"/>
                <w:szCs w:val="24"/>
              </w:rPr>
              <m:t>NIR+RED</m:t>
            </m:r>
          </m:den>
        </m:f>
      </m:oMath>
      <w:r w:rsidRPr="008D30D6">
        <w:rPr>
          <w:rFonts w:eastAsia="Arial"/>
          <w:iCs/>
          <w:sz w:val="24"/>
          <w:szCs w:val="24"/>
        </w:rPr>
        <w:t xml:space="preserve">     (Eq. 1)</w:t>
      </w:r>
    </w:p>
    <w:p w14:paraId="5BFEDC4D" w14:textId="77777777" w:rsidR="00F25462" w:rsidRPr="008D30D6" w:rsidRDefault="00F25462" w:rsidP="00F25462">
      <w:pPr>
        <w:spacing w:before="120"/>
        <w:ind w:firstLine="720"/>
        <w:jc w:val="center"/>
        <w:rPr>
          <w:rFonts w:eastAsia="Arial"/>
          <w:iCs/>
          <w:sz w:val="24"/>
          <w:szCs w:val="24"/>
        </w:rPr>
      </w:pPr>
      <m:oMath>
        <m:r>
          <m:rPr>
            <m:sty m:val="p"/>
          </m:rPr>
          <w:rPr>
            <w:rFonts w:ascii="Cambria Math" w:eastAsia="Arial" w:hAnsi="Cambria Math"/>
            <w:sz w:val="24"/>
            <w:szCs w:val="24"/>
          </w:rPr>
          <m:t xml:space="preserve">SSR= </m:t>
        </m:r>
        <m:f>
          <m:fPr>
            <m:ctrlPr>
              <w:rPr>
                <w:rFonts w:ascii="Cambria Math" w:eastAsia="Arial" w:hAnsi="Cambria Math"/>
                <w:iCs/>
                <w:sz w:val="24"/>
                <w:szCs w:val="24"/>
              </w:rPr>
            </m:ctrlPr>
          </m:fPr>
          <m:num>
            <m:r>
              <m:rPr>
                <m:sty m:val="p"/>
              </m:rPr>
              <w:rPr>
                <w:rFonts w:ascii="Cambria Math" w:eastAsia="Arial" w:hAnsi="Cambria Math"/>
                <w:sz w:val="24"/>
                <w:szCs w:val="24"/>
              </w:rPr>
              <m:t>1+NDVI</m:t>
            </m:r>
          </m:num>
          <m:den>
            <m:r>
              <m:rPr>
                <m:sty m:val="p"/>
              </m:rPr>
              <w:rPr>
                <w:rFonts w:ascii="Cambria Math" w:eastAsia="Arial" w:hAnsi="Cambria Math"/>
                <w:sz w:val="24"/>
                <w:szCs w:val="24"/>
              </w:rPr>
              <m:t>1-NDVI</m:t>
            </m:r>
          </m:den>
        </m:f>
      </m:oMath>
      <w:r w:rsidRPr="008D30D6">
        <w:rPr>
          <w:rFonts w:eastAsia="Arial"/>
          <w:iCs/>
          <w:sz w:val="24"/>
          <w:szCs w:val="24"/>
        </w:rPr>
        <w:t xml:space="preserve">     (Eq. 2)</w:t>
      </w:r>
    </w:p>
    <w:p w14:paraId="5B566AA2" w14:textId="77777777" w:rsidR="00F25462" w:rsidRPr="00C1362F" w:rsidRDefault="00F25462" w:rsidP="00F25462">
      <w:pPr>
        <w:spacing w:before="120"/>
        <w:ind w:firstLine="720"/>
        <w:jc w:val="both"/>
        <w:rPr>
          <w:rFonts w:eastAsia="Arial"/>
          <w:sz w:val="24"/>
        </w:rPr>
      </w:pPr>
      <w:r w:rsidRPr="00C1362F">
        <w:rPr>
          <w:rFonts w:eastAsia="Arial"/>
          <w:sz w:val="24"/>
        </w:rPr>
        <w:t>Finally, fPAR was calculated using Eq. 3-5, with the minimum and maximum NDVI and SSR reference thresholds corresponding to the 2</w:t>
      </w:r>
      <w:r w:rsidRPr="00C1362F">
        <w:rPr>
          <w:rFonts w:eastAsia="Arial"/>
          <w:sz w:val="24"/>
          <w:vertAlign w:val="superscript"/>
        </w:rPr>
        <w:t>nd</w:t>
      </w:r>
      <w:r w:rsidRPr="00C1362F">
        <w:rPr>
          <w:rFonts w:eastAsia="Arial"/>
          <w:sz w:val="24"/>
        </w:rPr>
        <w:t xml:space="preserve"> and 98</w:t>
      </w:r>
      <w:r w:rsidRPr="00C1362F">
        <w:rPr>
          <w:rFonts w:eastAsia="Arial"/>
          <w:sz w:val="24"/>
          <w:vertAlign w:val="superscript"/>
        </w:rPr>
        <w:t>th</w:t>
      </w:r>
      <w:r w:rsidRPr="00C1362F">
        <w:rPr>
          <w:rFonts w:eastAsia="Arial"/>
          <w:sz w:val="24"/>
        </w:rPr>
        <w:t xml:space="preserve"> percentiles of the time series values for all retained Ameriflux sites. The minimum and maximum fPAR reference values were determined through </w:t>
      </w:r>
      <w:r>
        <w:rPr>
          <w:rFonts w:eastAsia="Arial"/>
          <w:sz w:val="24"/>
        </w:rPr>
        <w:t>Monte-Carlo</w:t>
      </w:r>
      <w:r w:rsidRPr="00C1362F">
        <w:rPr>
          <w:rFonts w:eastAsia="Arial"/>
          <w:sz w:val="24"/>
        </w:rPr>
        <w:t xml:space="preserve"> analysis for each </w:t>
      </w:r>
      <w:r>
        <w:rPr>
          <w:rFonts w:eastAsia="Arial"/>
          <w:sz w:val="24"/>
        </w:rPr>
        <w:t>vegetation type</w:t>
      </w:r>
      <w:r w:rsidRPr="00C1362F">
        <w:rPr>
          <w:rFonts w:eastAsia="Arial"/>
          <w:sz w:val="24"/>
        </w:rPr>
        <w:t xml:space="preserve">. Specifically, potential reference values were randomly sampled from a uniform distribution and used to predict GPP. The predicted GPP was then compared with </w:t>
      </w:r>
      <w:r>
        <w:rPr>
          <w:rFonts w:eastAsia="Arial"/>
          <w:sz w:val="24"/>
        </w:rPr>
        <w:t xml:space="preserve">the </w:t>
      </w:r>
      <w:r w:rsidRPr="00C1362F">
        <w:rPr>
          <w:rFonts w:eastAsia="Arial"/>
          <w:sz w:val="24"/>
        </w:rPr>
        <w:t>observed GPP (see Section 2.5)</w:t>
      </w:r>
      <w:r>
        <w:rPr>
          <w:rFonts w:eastAsia="Arial"/>
          <w:sz w:val="24"/>
        </w:rPr>
        <w:t>,</w:t>
      </w:r>
      <w:r w:rsidRPr="00C1362F">
        <w:rPr>
          <w:rFonts w:eastAsia="Arial"/>
          <w:sz w:val="24"/>
        </w:rPr>
        <w:t xml:space="preserve"> and the optimal combination of values that resulted in the best-fitted </w:t>
      </w:r>
      <w:r>
        <w:rPr>
          <w:rFonts w:eastAsia="Arial"/>
          <w:sz w:val="24"/>
        </w:rPr>
        <w:t>vegetation type</w:t>
      </w:r>
      <w:r w:rsidRPr="00C1362F">
        <w:rPr>
          <w:rFonts w:eastAsia="Arial"/>
          <w:sz w:val="24"/>
        </w:rPr>
        <w:t xml:space="preserve">-specific model were determined as fPAR reference values. </w:t>
      </w:r>
    </w:p>
    <w:p w14:paraId="1D45C1F0" w14:textId="77777777" w:rsidR="00F25462" w:rsidRPr="008D30D6" w:rsidRDefault="00000000" w:rsidP="00F25462">
      <w:pPr>
        <w:spacing w:before="120"/>
        <w:ind w:firstLine="720"/>
        <w:jc w:val="center"/>
        <w:rPr>
          <w:rFonts w:eastAsia="Arial"/>
          <w:iCs/>
          <w:sz w:val="24"/>
          <w:szCs w:val="24"/>
        </w:rPr>
      </w:pPr>
      <m:oMath>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NDVI</m:t>
            </m:r>
          </m:sub>
        </m:sSub>
        <m:r>
          <m:rPr>
            <m:sty m:val="p"/>
          </m:rPr>
          <w:rPr>
            <w:rFonts w:ascii="Cambria Math" w:eastAsia="Arial" w:hAnsi="Cambria Math"/>
            <w:sz w:val="24"/>
            <w:szCs w:val="24"/>
          </w:rPr>
          <m:t xml:space="preserve">= </m:t>
        </m:r>
        <m:f>
          <m:fPr>
            <m:ctrlPr>
              <w:rPr>
                <w:rFonts w:ascii="Cambria Math" w:eastAsia="Arial" w:hAnsi="Cambria Math"/>
                <w:iCs/>
                <w:sz w:val="24"/>
                <w:szCs w:val="24"/>
              </w:rPr>
            </m:ctrlPr>
          </m:fPr>
          <m:num>
            <m:r>
              <m:rPr>
                <m:sty m:val="p"/>
              </m:rPr>
              <w:rPr>
                <w:rFonts w:ascii="Cambria Math" w:eastAsia="Arial" w:hAnsi="Cambria Math"/>
                <w:sz w:val="24"/>
                <w:szCs w:val="24"/>
              </w:rPr>
              <m:t>(NDVI-</m:t>
            </m:r>
            <m:sSub>
              <m:sSubPr>
                <m:ctrlPr>
                  <w:rPr>
                    <w:rFonts w:ascii="Cambria Math" w:eastAsia="Arial" w:hAnsi="Cambria Math"/>
                    <w:iCs/>
                    <w:sz w:val="24"/>
                    <w:szCs w:val="24"/>
                  </w:rPr>
                </m:ctrlPr>
              </m:sSubPr>
              <m:e>
                <m:r>
                  <m:rPr>
                    <m:sty m:val="p"/>
                  </m:rPr>
                  <w:rPr>
                    <w:rFonts w:ascii="Cambria Math" w:eastAsia="Arial" w:hAnsi="Cambria Math"/>
                    <w:sz w:val="24"/>
                    <w:szCs w:val="24"/>
                  </w:rPr>
                  <m:t>NDVI</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max</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num>
          <m:den>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NDVI</m:t>
                </m:r>
              </m:e>
              <m:sub>
                <m:r>
                  <m:rPr>
                    <m:sty m:val="p"/>
                  </m:rPr>
                  <w:rPr>
                    <w:rFonts w:ascii="Cambria Math" w:eastAsia="Arial" w:hAnsi="Cambria Math"/>
                    <w:sz w:val="24"/>
                    <w:szCs w:val="24"/>
                  </w:rPr>
                  <m:t>max</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NDVI</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den>
        </m:f>
      </m:oMath>
      <w:r w:rsidR="00F25462" w:rsidRPr="008D30D6">
        <w:rPr>
          <w:rFonts w:eastAsia="Arial"/>
          <w:iCs/>
          <w:sz w:val="24"/>
          <w:szCs w:val="24"/>
        </w:rPr>
        <w:t xml:space="preserve">     (Eq. 3)</w:t>
      </w:r>
    </w:p>
    <w:p w14:paraId="182DDC0C" w14:textId="77777777" w:rsidR="00F25462" w:rsidRPr="008D30D6" w:rsidRDefault="00000000" w:rsidP="00F25462">
      <w:pPr>
        <w:spacing w:before="120"/>
        <w:ind w:firstLine="720"/>
        <w:jc w:val="center"/>
        <w:rPr>
          <w:rFonts w:eastAsia="Arial"/>
          <w:sz w:val="24"/>
          <w:szCs w:val="24"/>
        </w:rPr>
      </w:pPr>
      <m:oMath>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SSR</m:t>
            </m:r>
          </m:sub>
        </m:sSub>
        <m:r>
          <m:rPr>
            <m:sty m:val="p"/>
          </m:rPr>
          <w:rPr>
            <w:rFonts w:ascii="Cambria Math" w:eastAsia="Arial" w:hAnsi="Cambria Math"/>
            <w:sz w:val="24"/>
            <w:szCs w:val="24"/>
          </w:rPr>
          <m:t xml:space="preserve">= </m:t>
        </m:r>
        <m:f>
          <m:fPr>
            <m:ctrlPr>
              <w:rPr>
                <w:rFonts w:ascii="Cambria Math" w:eastAsia="Arial" w:hAnsi="Cambria Math"/>
                <w:iCs/>
                <w:sz w:val="24"/>
                <w:szCs w:val="24"/>
              </w:rPr>
            </m:ctrlPr>
          </m:fPr>
          <m:num>
            <m:r>
              <m:rPr>
                <m:sty m:val="p"/>
              </m:rPr>
              <w:rPr>
                <w:rFonts w:ascii="Cambria Math" w:eastAsia="Arial" w:hAnsi="Cambria Math"/>
                <w:sz w:val="24"/>
                <w:szCs w:val="24"/>
              </w:rPr>
              <m:t>(SSR-</m:t>
            </m:r>
            <m:sSub>
              <m:sSubPr>
                <m:ctrlPr>
                  <w:rPr>
                    <w:rFonts w:ascii="Cambria Math" w:eastAsia="Arial" w:hAnsi="Cambria Math"/>
                    <w:iCs/>
                    <w:sz w:val="24"/>
                    <w:szCs w:val="24"/>
                  </w:rPr>
                </m:ctrlPr>
              </m:sSubPr>
              <m:e>
                <m:r>
                  <m:rPr>
                    <m:sty m:val="p"/>
                  </m:rPr>
                  <w:rPr>
                    <w:rFonts w:ascii="Cambria Math" w:eastAsia="Arial" w:hAnsi="Cambria Math"/>
                    <w:sz w:val="24"/>
                    <w:szCs w:val="24"/>
                  </w:rPr>
                  <m:t>SSR</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max</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num>
          <m:den>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SSR</m:t>
                </m:r>
              </m:e>
              <m:sub>
                <m:r>
                  <m:rPr>
                    <m:sty m:val="p"/>
                  </m:rPr>
                  <w:rPr>
                    <w:rFonts w:ascii="Cambria Math" w:eastAsia="Arial" w:hAnsi="Cambria Math"/>
                    <w:sz w:val="24"/>
                    <w:szCs w:val="24"/>
                  </w:rPr>
                  <m:t>max</m:t>
                </m:r>
              </m:sub>
            </m:sSub>
            <m:r>
              <m:rPr>
                <m:sty m:val="p"/>
              </m:rPr>
              <w:rPr>
                <w:rFonts w:ascii="Cambria Math" w:eastAsia="Arial" w:hAnsi="Cambria Math"/>
                <w:sz w:val="24"/>
                <w:szCs w:val="24"/>
              </w:rPr>
              <m:t>-</m:t>
            </m:r>
            <m:sSub>
              <m:sSubPr>
                <m:ctrlPr>
                  <w:rPr>
                    <w:rFonts w:ascii="Cambria Math" w:eastAsia="Arial" w:hAnsi="Cambria Math"/>
                    <w:iCs/>
                    <w:sz w:val="24"/>
                    <w:szCs w:val="24"/>
                  </w:rPr>
                </m:ctrlPr>
              </m:sSubPr>
              <m:e>
                <m:r>
                  <m:rPr>
                    <m:sty m:val="p"/>
                  </m:rPr>
                  <w:rPr>
                    <w:rFonts w:ascii="Cambria Math" w:eastAsia="Arial" w:hAnsi="Cambria Math"/>
                    <w:sz w:val="24"/>
                    <w:szCs w:val="24"/>
                  </w:rPr>
                  <m:t>SSR</m:t>
                </m:r>
              </m:e>
              <m:sub>
                <m:r>
                  <m:rPr>
                    <m:sty m:val="p"/>
                  </m:rPr>
                  <w:rPr>
                    <w:rFonts w:ascii="Cambria Math" w:eastAsia="Arial" w:hAnsi="Cambria Math"/>
                    <w:sz w:val="24"/>
                    <w:szCs w:val="24"/>
                  </w:rPr>
                  <m:t>min</m:t>
                </m:r>
              </m:sub>
            </m:sSub>
            <m:r>
              <m:rPr>
                <m:sty m:val="p"/>
              </m:rPr>
              <w:rPr>
                <w:rFonts w:ascii="Cambria Math" w:eastAsia="Arial" w:hAnsi="Cambria Math"/>
                <w:sz w:val="24"/>
                <w:szCs w:val="24"/>
              </w:rPr>
              <m:t>)</m:t>
            </m:r>
          </m:den>
        </m:f>
      </m:oMath>
      <w:r w:rsidR="00F25462" w:rsidRPr="008D30D6">
        <w:rPr>
          <w:rFonts w:eastAsia="Arial"/>
          <w:iCs/>
          <w:sz w:val="24"/>
          <w:szCs w:val="24"/>
        </w:rPr>
        <w:t xml:space="preserve">     (Eq. 4)</w:t>
      </w:r>
    </w:p>
    <w:p w14:paraId="325F7341" w14:textId="77777777" w:rsidR="00F25462" w:rsidRPr="008D30D6" w:rsidRDefault="00F25462" w:rsidP="00F25462">
      <w:pPr>
        <w:spacing w:before="120"/>
        <w:ind w:firstLine="720"/>
        <w:jc w:val="center"/>
        <w:rPr>
          <w:rFonts w:eastAsia="Arial"/>
          <w:sz w:val="24"/>
          <w:szCs w:val="24"/>
        </w:rPr>
      </w:pPr>
      <m:oMath>
        <m:r>
          <m:rPr>
            <m:sty m:val="p"/>
          </m:rPr>
          <w:rPr>
            <w:rFonts w:ascii="Cambria Math" w:eastAsia="Arial" w:hAnsi="Cambria Math"/>
            <w:sz w:val="24"/>
            <w:szCs w:val="24"/>
          </w:rPr>
          <w:lastRenderedPageBreak/>
          <m:t xml:space="preserve">fPAR= </m:t>
        </m:r>
        <m:f>
          <m:fPr>
            <m:ctrlPr>
              <w:rPr>
                <w:rFonts w:ascii="Cambria Math" w:eastAsia="Arial" w:hAnsi="Cambria Math"/>
                <w:sz w:val="24"/>
                <w:szCs w:val="24"/>
              </w:rPr>
            </m:ctrlPr>
          </m:fPr>
          <m:num>
            <m:sSub>
              <m:sSubPr>
                <m:ctrlPr>
                  <w:rPr>
                    <w:rFonts w:ascii="Cambria Math" w:eastAsia="Arial" w:hAnsi="Cambria Math"/>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NDVI</m:t>
                </m:r>
              </m:sub>
            </m:sSub>
            <m:r>
              <m:rPr>
                <m:sty m:val="p"/>
              </m:rPr>
              <w:rPr>
                <w:rFonts w:ascii="Cambria Math" w:eastAsia="Arial" w:hAnsi="Cambria Math"/>
                <w:sz w:val="24"/>
                <w:szCs w:val="24"/>
              </w:rPr>
              <m:t xml:space="preserve">+ </m:t>
            </m:r>
            <m:sSub>
              <m:sSubPr>
                <m:ctrlPr>
                  <w:rPr>
                    <w:rFonts w:ascii="Cambria Math" w:eastAsia="Arial" w:hAnsi="Cambria Math"/>
                    <w:sz w:val="24"/>
                    <w:szCs w:val="24"/>
                  </w:rPr>
                </m:ctrlPr>
              </m:sSubPr>
              <m:e>
                <m:r>
                  <m:rPr>
                    <m:sty m:val="p"/>
                  </m:rPr>
                  <w:rPr>
                    <w:rFonts w:ascii="Cambria Math" w:eastAsia="Arial" w:hAnsi="Cambria Math"/>
                    <w:sz w:val="24"/>
                    <w:szCs w:val="24"/>
                  </w:rPr>
                  <m:t>fPAR</m:t>
                </m:r>
              </m:e>
              <m:sub>
                <m:r>
                  <m:rPr>
                    <m:sty m:val="p"/>
                  </m:rPr>
                  <w:rPr>
                    <w:rFonts w:ascii="Cambria Math" w:eastAsia="Arial" w:hAnsi="Cambria Math"/>
                    <w:sz w:val="24"/>
                    <w:szCs w:val="24"/>
                  </w:rPr>
                  <m:t>SSR</m:t>
                </m:r>
              </m:sub>
            </m:sSub>
          </m:num>
          <m:den>
            <m:r>
              <m:rPr>
                <m:sty m:val="p"/>
              </m:rPr>
              <w:rPr>
                <w:rFonts w:ascii="Cambria Math" w:eastAsia="Arial" w:hAnsi="Cambria Math"/>
                <w:sz w:val="24"/>
                <w:szCs w:val="24"/>
              </w:rPr>
              <m:t>2</m:t>
            </m:r>
          </m:den>
        </m:f>
      </m:oMath>
      <w:r w:rsidRPr="008D30D6">
        <w:rPr>
          <w:rFonts w:eastAsia="Arial"/>
          <w:sz w:val="24"/>
          <w:szCs w:val="24"/>
        </w:rPr>
        <w:t xml:space="preserve">    (Eq. 5)</w:t>
      </w:r>
    </w:p>
    <w:p w14:paraId="12D5559D" w14:textId="09C6C3CA" w:rsidR="00F25462" w:rsidRPr="00BD3FCD" w:rsidRDefault="00F25462" w:rsidP="00F25462">
      <w:pPr>
        <w:spacing w:before="120"/>
        <w:ind w:firstLine="720"/>
        <w:jc w:val="both"/>
        <w:rPr>
          <w:rFonts w:eastAsia="Arial"/>
          <w:sz w:val="24"/>
        </w:rPr>
      </w:pPr>
      <w:r w:rsidRPr="00C1362F">
        <w:rPr>
          <w:rFonts w:eastAsia="Arial"/>
          <w:sz w:val="24"/>
        </w:rPr>
        <w:t xml:space="preserve">The extraction and QC processing of both MODIS and Landsat data were implemented within the </w:t>
      </w:r>
      <w:r>
        <w:rPr>
          <w:rFonts w:eastAsia="Arial"/>
          <w:sz w:val="24"/>
        </w:rPr>
        <w:t>Google Earth Engine (</w:t>
      </w:r>
      <w:r w:rsidRPr="00C1362F">
        <w:rPr>
          <w:rFonts w:eastAsia="Arial"/>
          <w:sz w:val="24"/>
        </w:rPr>
        <w:t>GEE</w:t>
      </w:r>
      <w:r>
        <w:rPr>
          <w:rFonts w:eastAsia="Arial"/>
          <w:sz w:val="24"/>
        </w:rPr>
        <w:t>)</w:t>
      </w:r>
      <w:r w:rsidRPr="00C1362F">
        <w:rPr>
          <w:rFonts w:eastAsia="Arial"/>
          <w:sz w:val="24"/>
        </w:rPr>
        <w:t xml:space="preserve"> platform </w:t>
      </w:r>
      <w:r w:rsidRPr="00C1362F">
        <w:rPr>
          <w:rFonts w:eastAsia="Arial"/>
          <w:sz w:val="24"/>
        </w:rPr>
        <w:fldChar w:fldCharType="begin" w:fldLock="1"/>
      </w:r>
      <w:r w:rsidRPr="00C1362F">
        <w:rPr>
          <w:rFonts w:eastAsia="Arial"/>
          <w:sz w:val="24"/>
        </w:rPr>
        <w:instrText>ADDIN CSL_CITATION {"citationItems":[{"id":"ITEM-1","itemData":{"DOI":"10.1016/j.rse.2017.06.031","ISSN":"00344257","abstract":"Google Earth Engine is a cloud-based platform for planetary-scale geospatial analysis that brings Google's massive computational capabilities to bear on a variety of high-impact societal issues including deforestation, drought, disaster, disease, food security, water management, climate monitoring and environmental protection. It is unique in the field as an integrated platform designed to empower not only traditional remote sensing scientists, but also a much wider audience that lacks the technical capacity needed to utilize traditional supercomputers or large-scale commodity cloud computing resources.","author":[{"dropping-particle":"","family":"Gorelick","given":"Noel","non-dropping-particle":"","parse-names":false,"suffix":""},{"dropping-particle":"","family":"Hancher","given":"Matt","non-dropping-particle":"","parse-names":false,"suffix":""},{"dropping-particle":"","family":"Dixon","given":"Mike","non-dropping-particle":"","parse-names":false,"suffix":""},{"dropping-particle":"","family":"Ilyushchenko","given":"Simon","non-dropping-particle":"","parse-names":false,"suffix":""},{"dropping-particle":"","family":"Thau","given":"David","non-dropping-particle":"","parse-names":false,"suffix":""},{"dropping-particle":"","family":"Moore","given":"Rebecca","non-dropping-particle":"","parse-names":false,"suffix":""}],"container-title":"Remote Sensing of Environment","id":"ITEM-1","issued":{"date-parts":[["2017"]]},"page":"18-27","title":"Google Earth Engine: Planetary-scale geospatial analysis for everyone","type":"article-journal","volume":"202"},"uris":["http://www.mendeley.com/documents/?uuid=3ed99179-be50-4ea9-bd6b-828d4f784d27"]}],"mendeley":{"formattedCitation":"(Gorelick et al., 2017)","plainTextFormattedCitation":"(Gorelick et al., 2017)","previouslyFormattedCitation":"(Gorelick et al., 2017)"},"properties":{"noteIndex":0},"schema":"https://github.com/citation-style-language/schema/raw/master/csl-citation.json"}</w:instrText>
      </w:r>
      <w:r w:rsidRPr="00C1362F">
        <w:rPr>
          <w:rFonts w:eastAsia="Arial"/>
          <w:sz w:val="24"/>
        </w:rPr>
        <w:fldChar w:fldCharType="separate"/>
      </w:r>
      <w:r w:rsidRPr="00C1362F">
        <w:rPr>
          <w:rFonts w:eastAsia="Arial"/>
          <w:noProof/>
          <w:sz w:val="24"/>
        </w:rPr>
        <w:t>(Gorelick et al., 2017)</w:t>
      </w:r>
      <w:r w:rsidRPr="00C1362F">
        <w:rPr>
          <w:rFonts w:eastAsia="Arial"/>
          <w:sz w:val="24"/>
        </w:rPr>
        <w:fldChar w:fldCharType="end"/>
      </w:r>
      <w:r w:rsidRPr="00C1362F">
        <w:rPr>
          <w:rFonts w:eastAsia="Arial"/>
          <w:sz w:val="24"/>
        </w:rPr>
        <w:t xml:space="preserve">, while the implementation of the STARFM algorithm and the following RS data processing steps </w:t>
      </w:r>
      <w:r>
        <w:rPr>
          <w:rFonts w:eastAsia="Arial"/>
          <w:sz w:val="24"/>
        </w:rPr>
        <w:t>were</w:t>
      </w:r>
      <w:r w:rsidRPr="00C1362F">
        <w:rPr>
          <w:rFonts w:eastAsia="Arial"/>
          <w:sz w:val="24"/>
        </w:rPr>
        <w:t xml:space="preserve"> realized using Python </w:t>
      </w:r>
      <w:r w:rsidRPr="00C1362F">
        <w:rPr>
          <w:rFonts w:eastAsia="Arial"/>
          <w:sz w:val="24"/>
        </w:rPr>
        <w:fldChar w:fldCharType="begin" w:fldLock="1"/>
      </w:r>
      <w:r w:rsidRPr="00C1362F">
        <w:rPr>
          <w:rFonts w:eastAsia="Arial"/>
          <w:sz w:val="24"/>
        </w:rPr>
        <w:instrText>ADDIN CSL_CITATION {"citationItems":[{"id":"ITEM-1","itemData":{"ISBN":"0672329786","ISSN":"13674803","PMID":"16377612","abstract":"The responses of neurons in sensory cortices are affected by the spatial context within which stimuli are embedded. In the primary visual cortex (V1), orientation-selective responses to stimuli in the receptive field (RF) center are suppressed by similarly oriented stimuli in the RF surround. Surround suppression, a likely neural correlate of perceptual figure-ground segregation, is traditionally thought to be generated within V1 by long-range horizontal connections. Recently however, it has been shown that these connections are too short and too slow to mediate fast suppression from distant regions of the RF surround. We use an anatomically and physiologically constrained recurrent network model of macaque V1 to show how interareal feedback connections, which are faster and longer-range than horizontal connections, can generate \"far\" surround suppression. We provide a novel solution to the puzzle of how surround suppression can arise from excitatory feedback axons contacting predominantly excitatory neurons in V1. The basic mechanism involves divergent feedback connections from the far surround targeting pyramidal neurons sending monosynaptic horizontal connections to excitatory and inhibitory neurons in the RF center. One of several predictions of our model is that the \"suppressive far surround\" is not always suppressive, but can facilitate the response of the RF center, depending on the amount of excitatory drive to the local inhibitors. Our model provides a general mechanism of how top-down feedback signals directly contribute to generating cortical neuron responses to simple sensory stimuli.","author":[{"dropping-particle":"Van","family":"Rossum","given":"Guido","non-dropping-particle":"","parse-names":false,"suffix":""},{"dropping-particle":"","family":"Drake","given":"Fred L","non-dropping-particle":"","parse-names":false,"suffix":""}],"id":"ITEM-1","issued":{"date-parts":[["1995"]]},"publisher-place":"The Netherlands","title":"Python tutorial","type":"report"},"uris":["http://www.mendeley.com/documents/?uuid=73d43b6e-2f6d-472b-9890-cdcebdee0d93"]}],"mendeley":{"formattedCitation":"(Rossum &amp; Drake, 1995)","plainTextFormattedCitation":"(Rossum &amp; Drake, 1995)","previouslyFormattedCitation":"(Rossum &amp; Drake, 1995)"},"properties":{"noteIndex":0},"schema":"https://github.com/citation-style-language/schema/raw/master/csl-citation.json"}</w:instrText>
      </w:r>
      <w:r w:rsidRPr="00C1362F">
        <w:rPr>
          <w:rFonts w:eastAsia="Arial"/>
          <w:sz w:val="24"/>
        </w:rPr>
        <w:fldChar w:fldCharType="separate"/>
      </w:r>
      <w:r w:rsidRPr="00C1362F">
        <w:rPr>
          <w:rFonts w:eastAsia="Arial"/>
          <w:noProof/>
          <w:sz w:val="24"/>
        </w:rPr>
        <w:t>(Rossum &amp; Drake, 1995)</w:t>
      </w:r>
      <w:r w:rsidRPr="00C1362F">
        <w:rPr>
          <w:rFonts w:eastAsia="Arial"/>
          <w:sz w:val="24"/>
        </w:rPr>
        <w:fldChar w:fldCharType="end"/>
      </w:r>
      <w:r w:rsidRPr="00C1362F">
        <w:rPr>
          <w:rFonts w:eastAsia="Arial"/>
          <w:sz w:val="24"/>
        </w:rPr>
        <w:t>. All the codes used in this and subsequent sections are openly available via Github</w:t>
      </w:r>
      <w:r w:rsidR="005C7DEB">
        <w:rPr>
          <w:rFonts w:eastAsia="Arial"/>
          <w:sz w:val="24"/>
        </w:rPr>
        <w:t xml:space="preserve">: </w:t>
      </w:r>
      <w:r w:rsidR="005C7DEB" w:rsidRPr="005C7DEB">
        <w:rPr>
          <w:rFonts w:eastAsia="Arial"/>
          <w:sz w:val="24"/>
        </w:rPr>
        <w:t>https://github.com/xiayushu/RCTM-soil-carbon</w:t>
      </w:r>
      <w:r w:rsidRPr="00C1362F">
        <w:rPr>
          <w:rFonts w:eastAsia="Arial"/>
          <w:sz w:val="24"/>
        </w:rPr>
        <w:t>.</w:t>
      </w:r>
    </w:p>
    <w:p w14:paraId="1D422913" w14:textId="4D3F8D5D" w:rsidR="00F25462" w:rsidRPr="00C1362F" w:rsidRDefault="00F25462" w:rsidP="00F25462">
      <w:pPr>
        <w:pStyle w:val="Heading-Secondary"/>
      </w:pPr>
      <w:r w:rsidRPr="00C1362F">
        <w:t xml:space="preserve">2.5 GPP </w:t>
      </w:r>
      <w:r>
        <w:t>m</w:t>
      </w:r>
      <w:r w:rsidRPr="00C1362F">
        <w:t xml:space="preserve">odel </w:t>
      </w:r>
      <w:r>
        <w:t>e</w:t>
      </w:r>
      <w:r w:rsidRPr="00C1362F">
        <w:t xml:space="preserve">stimation and </w:t>
      </w:r>
      <w:r>
        <w:t>c</w:t>
      </w:r>
      <w:r w:rsidRPr="00C1362F">
        <w:t xml:space="preserve">alibration </w:t>
      </w:r>
    </w:p>
    <w:p w14:paraId="0E2E8ADB" w14:textId="77777777" w:rsidR="00F25462" w:rsidRPr="00C1362F" w:rsidRDefault="00F25462" w:rsidP="00F25462">
      <w:pPr>
        <w:spacing w:before="120"/>
        <w:ind w:firstLine="720"/>
        <w:jc w:val="both"/>
        <w:rPr>
          <w:rFonts w:eastAsia="Arial"/>
          <w:sz w:val="24"/>
        </w:rPr>
      </w:pPr>
      <w:r w:rsidRPr="00C1362F">
        <w:rPr>
          <w:rFonts w:eastAsia="Arial"/>
          <w:sz w:val="24"/>
        </w:rPr>
        <w:t xml:space="preserve">The LUE algorithms used for </w:t>
      </w:r>
      <w:r>
        <w:rPr>
          <w:rFonts w:eastAsia="Arial"/>
          <w:sz w:val="24"/>
        </w:rPr>
        <w:t xml:space="preserve">the </w:t>
      </w:r>
      <w:r w:rsidRPr="00C1362F">
        <w:rPr>
          <w:rFonts w:eastAsia="Arial"/>
          <w:sz w:val="24"/>
        </w:rPr>
        <w:t xml:space="preserve">GPP calculation were adapted from the SMAP’s L4C model </w:t>
      </w:r>
      <w:r w:rsidRPr="00C1362F">
        <w:rPr>
          <w:rFonts w:eastAsia="Arial"/>
          <w:sz w:val="24"/>
        </w:rPr>
        <w:fldChar w:fldCharType="begin" w:fldLock="1"/>
      </w:r>
      <w:r w:rsidRPr="00C1362F">
        <w:rPr>
          <w:rFonts w:eastAsia="Arial"/>
          <w:sz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(Endsley et al., 2020)</w:t>
      </w:r>
      <w:r w:rsidRPr="00C1362F">
        <w:rPr>
          <w:rFonts w:eastAsia="Arial"/>
          <w:sz w:val="24"/>
        </w:rPr>
        <w:fldChar w:fldCharType="end"/>
      </w:r>
      <w:r w:rsidRPr="00C1362F">
        <w:rPr>
          <w:rFonts w:eastAsia="Arial"/>
          <w:sz w:val="24"/>
        </w:rPr>
        <w:t xml:space="preserve">. In RCTM, the estimation of actual LUE </w:t>
      </w:r>
      <w:r>
        <w:rPr>
          <w:rFonts w:eastAsia="Arial"/>
          <w:sz w:val="24"/>
        </w:rPr>
        <w:t xml:space="preserve">is </w:t>
      </w:r>
      <w:r w:rsidRPr="00C1362F">
        <w:rPr>
          <w:rFonts w:eastAsia="Arial"/>
          <w:sz w:val="24"/>
        </w:rPr>
        <w:t xml:space="preserve">based on </w:t>
      </w:r>
      <w:r>
        <w:rPr>
          <w:rFonts w:eastAsia="Arial"/>
          <w:sz w:val="24"/>
        </w:rPr>
        <w:t>scaling the potential</w:t>
      </w:r>
      <w:r w:rsidRPr="00C1362F">
        <w:rPr>
          <w:rFonts w:eastAsia="Arial"/>
          <w:sz w:val="24"/>
        </w:rPr>
        <w:t xml:space="preserve"> maximum LUE by modifiers including root zone </w:t>
      </w:r>
      <w:r>
        <w:rPr>
          <w:rFonts w:eastAsia="Arial"/>
          <w:sz w:val="24"/>
        </w:rPr>
        <w:t xml:space="preserve">(ca. 60 cm depth) </w:t>
      </w:r>
      <w:r w:rsidRPr="00C1362F">
        <w:rPr>
          <w:rFonts w:eastAsia="Arial"/>
          <w:sz w:val="24"/>
        </w:rPr>
        <w:t xml:space="preserve">soil moisture, </w:t>
      </w:r>
      <w:r>
        <w:rPr>
          <w:rFonts w:eastAsia="Arial"/>
          <w:sz w:val="24"/>
        </w:rPr>
        <w:t xml:space="preserve">surface 5 cm </w:t>
      </w:r>
      <w:r w:rsidRPr="00C1362F">
        <w:rPr>
          <w:rFonts w:eastAsia="Arial"/>
          <w:sz w:val="24"/>
        </w:rPr>
        <w:t xml:space="preserve">soil temperature, and VPD (SI: Fig. A2), where threshold values for these modifiers were established for both </w:t>
      </w:r>
      <w:r>
        <w:rPr>
          <w:rFonts w:eastAsia="Arial"/>
          <w:sz w:val="24"/>
        </w:rPr>
        <w:t>upper</w:t>
      </w:r>
      <w:r w:rsidRPr="00C1362F">
        <w:rPr>
          <w:rFonts w:eastAsia="Arial"/>
          <w:sz w:val="24"/>
        </w:rPr>
        <w:t xml:space="preserve"> and </w:t>
      </w:r>
      <w:r>
        <w:rPr>
          <w:rFonts w:eastAsia="Arial"/>
          <w:sz w:val="24"/>
        </w:rPr>
        <w:t>lower bound</w:t>
      </w:r>
      <w:r w:rsidRPr="00C1362F">
        <w:rPr>
          <w:rFonts w:eastAsia="Arial"/>
          <w:sz w:val="24"/>
        </w:rPr>
        <w:t xml:space="preserve"> values. </w:t>
      </w:r>
      <w:r>
        <w:rPr>
          <w:rFonts w:eastAsia="Arial"/>
          <w:sz w:val="24"/>
        </w:rPr>
        <w:t>The</w:t>
      </w:r>
      <w:r w:rsidRPr="00C1362F">
        <w:rPr>
          <w:rFonts w:eastAsia="Arial"/>
          <w:sz w:val="24"/>
        </w:rPr>
        <w:t xml:space="preserve"> GPP is calculated based on estimated LUE, STARFM-derived fPAR detailed in Section 2.4, and shortwave incoming solar radiation (SW_IN) using Eq. 6.</w:t>
      </w:r>
    </w:p>
    <w:p w14:paraId="2A91BBF1" w14:textId="77777777" w:rsidR="00F25462" w:rsidRPr="008D30D6" w:rsidRDefault="00F25462" w:rsidP="00F25462">
      <w:pPr>
        <w:spacing w:before="120"/>
        <w:ind w:firstLine="720"/>
        <w:jc w:val="center"/>
        <w:rPr>
          <w:rFonts w:eastAsia="Arial"/>
          <w:iCs/>
          <w:sz w:val="24"/>
          <w:szCs w:val="24"/>
        </w:rPr>
      </w:pPr>
      <m:oMath>
        <m:r>
          <m:rPr>
            <m:sty m:val="p"/>
          </m:rPr>
          <w:rPr>
            <w:rFonts w:ascii="Cambria Math" w:eastAsia="Arial" w:hAnsi="Cambria Math"/>
            <w:sz w:val="24"/>
            <w:szCs w:val="24"/>
          </w:rPr>
          <m:t>GPP=LUE×SW_IN×0.45×fPAR</m:t>
        </m:r>
      </m:oMath>
      <w:r w:rsidRPr="008D30D6">
        <w:rPr>
          <w:rFonts w:eastAsia="Arial"/>
          <w:sz w:val="24"/>
          <w:szCs w:val="24"/>
        </w:rPr>
        <w:t xml:space="preserve">     </w:t>
      </w:r>
      <w:r w:rsidRPr="008D30D6">
        <w:rPr>
          <w:rFonts w:eastAsia="Arial"/>
          <w:iCs/>
          <w:sz w:val="24"/>
          <w:szCs w:val="24"/>
        </w:rPr>
        <w:t>(Eq. 6)</w:t>
      </w:r>
    </w:p>
    <w:p w14:paraId="33E3D1DC" w14:textId="77777777" w:rsidR="00F25462" w:rsidRPr="008D30D6" w:rsidRDefault="00F25462" w:rsidP="00F25462">
      <w:pPr>
        <w:spacing w:before="120"/>
        <w:ind w:firstLine="720"/>
        <w:jc w:val="both"/>
        <w:rPr>
          <w:rFonts w:eastAsia="Arial"/>
          <w:sz w:val="24"/>
          <w:szCs w:val="24"/>
        </w:rPr>
      </w:pPr>
      <w:r w:rsidRPr="008D30D6">
        <w:rPr>
          <w:rFonts w:eastAsia="Arial"/>
          <w:sz w:val="24"/>
          <w:szCs w:val="24"/>
        </w:rPr>
        <w:t>Where GPP represents gross primary productivity (g C m</w:t>
      </w:r>
      <w:r w:rsidRPr="008D30D6">
        <w:rPr>
          <w:rFonts w:eastAsia="Arial"/>
          <w:sz w:val="24"/>
          <w:szCs w:val="24"/>
          <w:vertAlign w:val="superscript"/>
        </w:rPr>
        <w:t>-2</w:t>
      </w:r>
      <w:r w:rsidRPr="008D30D6">
        <w:rPr>
          <w:rFonts w:eastAsia="Arial"/>
          <w:sz w:val="24"/>
          <w:szCs w:val="24"/>
        </w:rPr>
        <w:t>), LUE represents light use efficiency (g C MJ</w:t>
      </w:r>
      <w:r w:rsidRPr="008D30D6">
        <w:rPr>
          <w:rFonts w:eastAsia="Arial"/>
          <w:sz w:val="24"/>
          <w:szCs w:val="24"/>
          <w:vertAlign w:val="superscript"/>
        </w:rPr>
        <w:t>-1</w:t>
      </w:r>
      <w:r w:rsidRPr="008D30D6">
        <w:rPr>
          <w:rFonts w:eastAsia="Arial"/>
          <w:sz w:val="24"/>
          <w:szCs w:val="24"/>
        </w:rPr>
        <w:t>) estimated based on maximum LUE adjusted by environmental modifiers, SW_IN represents shortwave incoming solar radiation (MJ m</w:t>
      </w:r>
      <w:r w:rsidRPr="008D30D6">
        <w:rPr>
          <w:rFonts w:eastAsia="Arial"/>
          <w:sz w:val="24"/>
          <w:szCs w:val="24"/>
          <w:vertAlign w:val="superscript"/>
        </w:rPr>
        <w:t>-2</w:t>
      </w:r>
      <w:r w:rsidRPr="008D30D6">
        <w:rPr>
          <w:rFonts w:eastAsia="Arial"/>
          <w:sz w:val="24"/>
          <w:szCs w:val="24"/>
        </w:rPr>
        <w:t xml:space="preserve">), fPAR represents fraction of absorbed photosynthetically active radiation, and 0.45 </w:t>
      </w:r>
      <w:r w:rsidRPr="008D30D6">
        <w:rPr>
          <w:rFonts w:ascii="Times" w:eastAsia="Arial" w:hAnsi="Times" w:cs="Arial"/>
          <w:sz w:val="24"/>
          <w:szCs w:val="24"/>
        </w:rPr>
        <w:t>reflects the well-established observation that about 45% of incoming shortwave radiation is in photosynthetically active wavelengths</w:t>
      </w:r>
      <w:r w:rsidRPr="008D30D6">
        <w:rPr>
          <w:rFonts w:eastAsia="Arial"/>
          <w:sz w:val="24"/>
          <w:szCs w:val="24"/>
        </w:rPr>
        <w:t xml:space="preserve"> </w:t>
      </w:r>
      <w:r w:rsidRPr="008D30D6">
        <w:rPr>
          <w:rFonts w:eastAsia="Arial"/>
          <w:sz w:val="24"/>
          <w:szCs w:val="24"/>
        </w:rPr>
        <w:fldChar w:fldCharType="begin" w:fldLock="1"/>
      </w:r>
      <w:r w:rsidRPr="008D30D6">
        <w:rPr>
          <w:rFonts w:eastAsia="Arial"/>
          <w:sz w:val="24"/>
          <w:szCs w:val="24"/>
        </w:rPr>
        <w:instrText>ADDIN CSL_CITATION {"citationItems":[{"id":"ITEM-1","itemData":{"DOI":"10.1029/2022GL099550","ISSN":"19448007","abstract":"Vegetation light-use efficiency (LUE) is a critical parameter of vegetation photosynthesis, but its global variations and the drivers remain poorly understood. Here, we used data from 172 flux tower sites to characterize the global distribution of ecosystem-level LUE spanning various vegetation and climate. The global growing season average LUE was 1.30 ± 0.55 g C MJ−1 for 2000–2014. The main factors driving LUE variations included environmental conditions (e.g., temperature), plant traits (e.g., foliar nitrogen concentration and isohydricity) and their interactions, which together accounted for about 76% of the observed global variations in LUE. However, an ensemble of 11 dynamic global vegetation models largely underestimated LUE, and hardly captured the key drivers. Our results highlight that a paradigm shift from vegetation functional type-based scheme to trait-climate spectrum-based scheme is necessary for the next-generation models to accurately simulate the response of vegetation carbon uptake to climate change.","author":[{"dropping-particle":"","family":"He","given":"Mingzhu","non-dropping-particle":"","parse-names":false,"suffix":""},{"dropping-particle":"","family":"Chen","given":"Shaoyuan","non-dropping-particle":"","parse-names":false,"suffix":""},{"dropping-particle":"","family":"Lian","given":"Xu","non-dropping-particle":"","parse-names":false,"suffix":""},{"dropping-particle":"","family":"Wang","given":"Xuhui","non-dropping-particle":"","parse-names":false,"suffix":""},{"dropping-particle":"","family":"Peñuelas","given":"Josep","non-dropping-particle":"","parse-names":false,"suffix":""},{"dropping-particle":"","family":"Piao","given":"Shilong","non-dropping-particle":"","parse-names":false,"suffix":""}],"container-title":"Geophysical Research Letters","id":"ITEM-1","issue":"16","issued":{"date-parts":[["2022"]]},"page":"e2022GL099550","title":"Global spectrum of vegetation light-use efficiency","type":"article-journal","volume":"49"},"uris":["http://www.mendeley.com/documents/?uuid=45806265-dcb2-4ddf-8db3-2aac9036ce9b"]}],"mendeley":{"formattedCitation":"(He et al., 2022)","plainTextFormattedCitation":"(He et al., 2022)","previouslyFormattedCitation":"(He et al., 2022)"},"properties":{"noteIndex":0},"schema":"https://github.com/citation-style-language/schema/raw/master/csl-citation.json"}</w:instrText>
      </w:r>
      <w:r w:rsidRPr="008D30D6">
        <w:rPr>
          <w:rFonts w:eastAsia="Arial"/>
          <w:sz w:val="24"/>
          <w:szCs w:val="24"/>
        </w:rPr>
        <w:fldChar w:fldCharType="separate"/>
      </w:r>
      <w:r w:rsidRPr="008D30D6">
        <w:rPr>
          <w:rFonts w:eastAsia="Arial"/>
          <w:noProof/>
          <w:sz w:val="24"/>
          <w:szCs w:val="24"/>
        </w:rPr>
        <w:t>(He et al., 2022)</w:t>
      </w:r>
      <w:r w:rsidRPr="008D30D6">
        <w:rPr>
          <w:rFonts w:eastAsia="Arial"/>
          <w:sz w:val="24"/>
          <w:szCs w:val="24"/>
        </w:rPr>
        <w:fldChar w:fldCharType="end"/>
      </w:r>
      <w:r w:rsidRPr="008D30D6">
        <w:rPr>
          <w:rFonts w:eastAsia="Arial"/>
          <w:sz w:val="24"/>
          <w:szCs w:val="24"/>
        </w:rPr>
        <w:t xml:space="preserve">. </w:t>
      </w:r>
    </w:p>
    <w:p w14:paraId="45F6BF6F" w14:textId="77777777" w:rsidR="00F25462" w:rsidRPr="00C1362F" w:rsidRDefault="00F25462" w:rsidP="00F25462">
      <w:pPr>
        <w:spacing w:before="120"/>
        <w:ind w:firstLine="720"/>
        <w:jc w:val="both"/>
        <w:rPr>
          <w:rFonts w:eastAsia="Arial"/>
          <w:sz w:val="24"/>
        </w:rPr>
      </w:pPr>
      <w:r w:rsidRPr="00C1362F">
        <w:rPr>
          <w:rFonts w:eastAsia="Arial"/>
          <w:sz w:val="24"/>
        </w:rPr>
        <w:t xml:space="preserve">To facilitate GPP calibration, we extracted root zone soil moisture, soil temperature at 5 cm surface depth, SW_IN from NLDAS </w:t>
      </w:r>
      <w:r w:rsidRPr="00C1362F">
        <w:rPr>
          <w:rFonts w:eastAsia="Arial"/>
          <w:sz w:val="24"/>
        </w:rPr>
        <w:fldChar w:fldCharType="begin" w:fldLock="1"/>
      </w:r>
      <w:r w:rsidRPr="00C1362F">
        <w:rPr>
          <w:rFonts w:eastAsia="Arial"/>
          <w:sz w:val="24"/>
        </w:rPr>
        <w:instrText>ADDIN CSL_CITATION {"citationItems":[{"id":"ITEM-1","itemData":{"URL":"https://disc.gsfc.nasa.gov/datasets/NLDAS_NOAH0125_H_002/summary","abstract":"Xia, Y., et al. (2012), NCEP/EMC (2014), Edited by David Mocko, NASA/GSFC/HSL, Greenbelt, Maryland, USA, Goddard Earth Sciences Data and Information Services Center (GES DISC)","accessed":{"date-parts":[["2022","11","7"]]},"author":[{"dropping-particle":"","family":"Xia","given":"Y.","non-dropping-particle":"","parse-names":false,"suffix":""},{"dropping-particle":"","family":"Mitchell","given":"K.","non-dropping-particle":"","parse-names":false,"suffix":""},{"dropping-particle":"","family":"Ek","given":"M.","non-dropping-particle":"","parse-names":false,"suffix":""},{"dropping-particle":"","family":"Sheffield","given":"J.","non-dropping-particle":"","parse-names":false,"suffix":""},{"dropping-particle":"","family":"Cosgrove","given":"B.","non-dropping-particle":"","parse-names":false,"suffix":""},{"dropping-particle":"","family":"Wood","given":"E.","non-dropping-particle":"","parse-names":false,"suffix":""},{"dropping-particle":"","family":"Luo","given":"L.","non-dropping-particle":"","parse-names":false,"suffix":""},{"dropping-particle":"","family":"Alonge","given":"C.","non-dropping-particle":"","parse-names":false,"suffix":""},{"dropping-particle":"","family":"Wei","given":"H.","non-dropping-particle":"","parse-names":false,"suffix":""},{"dropping-particle":"","family":"Meng","given":"J.","non-dropping-particle":"","parse-names":false,"suffix":""},{"dropping-particle":"","family":"Livneh","given":"B.","non-dropping-particle":"","parse-names":false,"suffix":""},{"dropping-particle":"","family":"Lettenmaier","given":"D.","non-dropping-particle":"","parse-names":false,"suffix":""},{"dropping-particle":"","family":"Koren","given":"V.","non-dropping-particle":"","parse-names":false,"suffix":""},{"dropping-particle":"","family":"Duan","given":"Q.","non-dropping-particle":"","parse-names":false,"suffix":""},{"dropping-particle":"","family":"Mo","given":"K.","non-dropping-particle":"","parse-names":false,"suffix":""},{"dropping-particle":"","family":"Fan","given":"Y.","non-dropping-particle":"","parse-names":false,"suffix":""},{"dropping-particle":"","family":"Mocko","given":"D.","non-dropping-particle":"","parse-names":false,"suffix":""}],"container-title":"Goddard Earth Sciences Data and Information Services Center (GES DISC)","id":"ITEM-1","issued":{"date-parts":[["2012"]]},"title":"NLDAS Noah Land Surface Model L4 Hourly 0.125 x 0.125 degree V002","type":"webpage"},"uris":["http://www.mendeley.com/documents/?uuid=3cd1c44a-806e-4c63-9cc8-2a8bf1a7e498"]}],"mendeley":{"formattedCitation":"(Y. Xia et al., 2012)","manualFormatting":"(Xia et al., 2012)","plainTextFormattedCitation":"(Y. Xia et al., 2012)","previouslyFormattedCitation":"(Y. Xia et al., 2012)"},"properties":{"noteIndex":0},"schema":"https://github.com/citation-style-language/schema/raw/master/csl-citation.json"}</w:instrText>
      </w:r>
      <w:r w:rsidRPr="00C1362F">
        <w:rPr>
          <w:rFonts w:eastAsia="Arial"/>
          <w:sz w:val="24"/>
        </w:rPr>
        <w:fldChar w:fldCharType="separate"/>
      </w:r>
      <w:r w:rsidRPr="00C1362F">
        <w:rPr>
          <w:rFonts w:eastAsia="Arial"/>
          <w:noProof/>
          <w:sz w:val="24"/>
        </w:rPr>
        <w:t>(Xia et al., 2012)</w:t>
      </w:r>
      <w:r w:rsidRPr="00C1362F">
        <w:rPr>
          <w:rFonts w:eastAsia="Arial"/>
          <w:sz w:val="24"/>
        </w:rPr>
        <w:fldChar w:fldCharType="end"/>
      </w:r>
      <w:r w:rsidRPr="00C1362F">
        <w:rPr>
          <w:rFonts w:eastAsia="Arial"/>
          <w:sz w:val="24"/>
        </w:rPr>
        <w:t xml:space="preserve">, and VPD from Daymet V4 </w:t>
      </w:r>
      <w:r w:rsidRPr="00C1362F">
        <w:rPr>
          <w:rFonts w:eastAsia="Arial"/>
          <w:sz w:val="24"/>
        </w:rPr>
        <w:fldChar w:fldCharType="begin" w:fldLock="1"/>
      </w:r>
      <w:r w:rsidRPr="00C1362F">
        <w:rPr>
          <w:rFonts w:eastAsia="Arial"/>
          <w:sz w:val="24"/>
        </w:rPr>
        <w:instrText>ADDIN CSL_CITATION {"citationItems":[{"id":"ITEM-1","itemData":{"DOI":"10.3334/ORNLDAAC/2131","abstract":"This data set provides Daymet Version 3 monthly summary climatologies at a 1-km x 1-km spatial resolution for four Daymet variables; minimum and maximum temperature, precipitation, and vapor pressure. Monthly averages are provided for minimum and maximum temperature and vapor pressure, and monthly totals are provided for the precipitation variable. These single month summary data products are produced for each individual month within a calendar year and cover the same period of record as the Daymet V3 daily data. The monthly climatology summaries are derived from the much larger data set of daily weather parameters (Thornton et al., 2016), produced on a 1-km x 1-km grid over North America including Canada, the United States, and Mexico. Separate monthly summary files are provided for the land areas of Hawaii and Puerto Rico, which are also available as gridded daily files as part of the Daymet V3 data set. Data are in a Lambert Conformal Conic projection for North America and are distributed in a netCDF file (version 1.6) format compliant to Climate and Forecast (CF) metadata conventions and geotiff file formats.","author":[{"dropping-particle":"","family":"Thornton","given":"M.M.","non-dropping-particle":"","parse-names":false,"suffix":""},{"dropping-particle":"","family":"Thornton","given":"P.E.","non-dropping-particle":"","parse-names":false,"suffix":""},{"dropping-particle":"","family":"Wei","given":"Y.","non-dropping-particle":"","parse-names":false,"suffix":""},{"dropping-particle":"","family":"Mayer","given":"B.W.","non-dropping-particle":"","parse-names":false,"suffix":""},{"dropping-particle":"","family":"Cook","given":"R.B.","non-dropping-particle":"","parse-names":false,"suffix":""},{"dropping-particle":"","family":"Vose","given":"R.S.","non-dropping-particle":"","parse-names":false,"suffix":""}],"container-title":"Oak Ridge National Laboratory","id":"ITEM-1","issued":{"date-parts":[["2022"]]},"publisher-place":"Oak Ridge, Tennessee, USA","title":"Daymet: Monthly climate summaries on a 1-km grid for North America, version 4 R1","type":"report"},"uris":["http://www.mendeley.com/documents/?uuid=e184f6c8-c9de-4be9-8b8e-bd4b177bf6f8"]}],"mendeley":{"formattedCitation":"(Thornton et al., 2022)","plainTextFormattedCitation":"(Thornton et al., 2022)","previouslyFormattedCitation":"(Thornton et al., 2022)"},"properties":{"noteIndex":0},"schema":"https://github.com/citation-style-language/schema/raw/master/csl-citation.json"}</w:instrText>
      </w:r>
      <w:r w:rsidRPr="00C1362F">
        <w:rPr>
          <w:rFonts w:eastAsia="Arial"/>
          <w:sz w:val="24"/>
        </w:rPr>
        <w:fldChar w:fldCharType="separate"/>
      </w:r>
      <w:r w:rsidRPr="00C1362F">
        <w:rPr>
          <w:rFonts w:eastAsia="Arial"/>
          <w:noProof/>
          <w:sz w:val="24"/>
        </w:rPr>
        <w:t>(Thornton et al., 2022)</w:t>
      </w:r>
      <w:r w:rsidRPr="00C1362F">
        <w:rPr>
          <w:rFonts w:eastAsia="Arial"/>
          <w:sz w:val="24"/>
        </w:rPr>
        <w:fldChar w:fldCharType="end"/>
      </w:r>
      <w:r w:rsidRPr="00C1362F">
        <w:rPr>
          <w:rFonts w:eastAsia="Arial"/>
          <w:sz w:val="24"/>
        </w:rPr>
        <w:t xml:space="preserve"> for the retained Ameriflux and NEON sites. We used GEE for the direct extraction of NLDAS-derived SW_IN and Daymet-derived VPD at a daily time step. Soil moisture and temperature were downloaded from the </w:t>
      </w:r>
      <w:r>
        <w:rPr>
          <w:rFonts w:eastAsia="Arial"/>
          <w:sz w:val="24"/>
        </w:rPr>
        <w:t xml:space="preserve">NASA </w:t>
      </w:r>
      <w:r w:rsidRPr="00C1362F">
        <w:rPr>
          <w:rFonts w:eastAsia="Arial"/>
          <w:sz w:val="24"/>
        </w:rPr>
        <w:t>E</w:t>
      </w:r>
      <w:r>
        <w:rPr>
          <w:rFonts w:eastAsia="Arial"/>
          <w:sz w:val="24"/>
        </w:rPr>
        <w:t>arthdata</w:t>
      </w:r>
      <w:r w:rsidRPr="00C1362F">
        <w:rPr>
          <w:rFonts w:eastAsia="Arial"/>
          <w:sz w:val="24"/>
        </w:rPr>
        <w:t xml:space="preserve"> portal using the subset tools, then averaged to daily values in Google Colaboratory and stored in Google Cloud (Google Inc., CA, USA). </w:t>
      </w:r>
      <w:bookmarkStart w:id="7" w:name="_Hlk150364099"/>
      <w:r w:rsidRPr="00C1362F">
        <w:rPr>
          <w:rFonts w:eastAsia="Arial"/>
          <w:sz w:val="24"/>
        </w:rPr>
        <w:t xml:space="preserve">The extracted </w:t>
      </w:r>
      <w:r>
        <w:rPr>
          <w:rFonts w:eastAsia="Arial"/>
          <w:sz w:val="24"/>
        </w:rPr>
        <w:t>environmental variable</w:t>
      </w:r>
      <w:r w:rsidRPr="00C1362F">
        <w:rPr>
          <w:rFonts w:eastAsia="Arial"/>
          <w:sz w:val="24"/>
        </w:rPr>
        <w:t xml:space="preserve"> datasets were merged with STARFM fPAR every 5 days. </w:t>
      </w:r>
      <w:bookmarkEnd w:id="7"/>
      <w:r w:rsidRPr="00C1362F">
        <w:rPr>
          <w:rFonts w:eastAsia="Arial"/>
          <w:sz w:val="24"/>
        </w:rPr>
        <w:t>Next, the merged dataset was joined with GPP measurements processed from Section 2.3</w:t>
      </w:r>
      <w:r>
        <w:rPr>
          <w:rFonts w:eastAsia="Arial"/>
          <w:sz w:val="24"/>
        </w:rPr>
        <w:t>. This resulting calibration dataset had more</w:t>
      </w:r>
      <w:r w:rsidRPr="00C1362F">
        <w:rPr>
          <w:rFonts w:eastAsia="Arial"/>
          <w:sz w:val="24"/>
        </w:rPr>
        <w:t xml:space="preserve"> GPP data for the perennial and/or annual grass and </w:t>
      </w:r>
      <w:r w:rsidRPr="00C1362F">
        <w:rPr>
          <w:rFonts w:eastAsia="SimSun"/>
          <w:bCs/>
          <w:sz w:val="24"/>
          <w:szCs w:val="24"/>
        </w:rPr>
        <w:t>grass-shrub mixture</w:t>
      </w:r>
      <w:r w:rsidRPr="00C1362F">
        <w:rPr>
          <w:rFonts w:eastAsia="Arial"/>
          <w:sz w:val="24"/>
        </w:rPr>
        <w:t xml:space="preserve"> sites. Fewer data points were available for the </w:t>
      </w:r>
      <w:r w:rsidRPr="00C1362F">
        <w:rPr>
          <w:rFonts w:eastAsia="SimSun"/>
          <w:bCs/>
          <w:sz w:val="24"/>
          <w:szCs w:val="24"/>
        </w:rPr>
        <w:t>grass-tree mixture</w:t>
      </w:r>
      <w:r w:rsidRPr="00C1362F">
        <w:rPr>
          <w:rFonts w:eastAsia="Arial"/>
          <w:sz w:val="24"/>
        </w:rPr>
        <w:t xml:space="preserve"> and managed hay and pasture sites. In total, 24,239 GPP records (302 site-year combinations) were retained from 47 sites (</w:t>
      </w:r>
      <w:r>
        <w:rPr>
          <w:rFonts w:eastAsia="Arial"/>
          <w:sz w:val="24"/>
        </w:rPr>
        <w:t xml:space="preserve">SI: </w:t>
      </w:r>
      <w:r w:rsidRPr="00C1362F">
        <w:rPr>
          <w:rFonts w:eastAsia="Arial"/>
          <w:sz w:val="24"/>
        </w:rPr>
        <w:t>Table B2).</w:t>
      </w:r>
      <w:r w:rsidRPr="00C1362F">
        <w:t xml:space="preserve"> </w:t>
      </w:r>
    </w:p>
    <w:p w14:paraId="261AEF5A" w14:textId="77777777" w:rsidR="00F25462" w:rsidRPr="00C1362F" w:rsidRDefault="00F25462" w:rsidP="00F25462">
      <w:pPr>
        <w:spacing w:before="120"/>
        <w:ind w:firstLine="720"/>
        <w:jc w:val="both"/>
        <w:rPr>
          <w:rFonts w:eastAsia="Arial"/>
          <w:sz w:val="24"/>
        </w:rPr>
      </w:pPr>
      <w:r w:rsidRPr="00C1362F">
        <w:rPr>
          <w:rFonts w:eastAsia="Arial"/>
          <w:sz w:val="24"/>
        </w:rPr>
        <w:t xml:space="preserve">We carried out model calibration by adjusting </w:t>
      </w:r>
      <w:r>
        <w:rPr>
          <w:rFonts w:eastAsia="Arial"/>
          <w:sz w:val="24"/>
        </w:rPr>
        <w:t>vegetation type</w:t>
      </w:r>
      <w:r w:rsidRPr="00C1362F">
        <w:rPr>
          <w:rFonts w:eastAsia="Arial"/>
          <w:sz w:val="24"/>
        </w:rPr>
        <w:t>-based threshold values associated with the environmental modifiers, including maximum LUE as well as minimum and maximum root zone soil moisture, soil temperature, and VPD (</w:t>
      </w:r>
      <w:r>
        <w:rPr>
          <w:rFonts w:eastAsia="Arial"/>
          <w:sz w:val="24"/>
        </w:rPr>
        <w:t xml:space="preserve">SI: </w:t>
      </w:r>
      <w:r w:rsidRPr="00C1362F">
        <w:rPr>
          <w:rFonts w:eastAsia="Arial"/>
          <w:sz w:val="24"/>
        </w:rPr>
        <w:t xml:space="preserve">Fig. A2) based on GPP observations. The calibration was conducted using a Bayesian calibration scheme where initial values for model parameters were extracted from SMAP’s L4C model </w:t>
      </w:r>
      <w:r w:rsidRPr="00C1362F">
        <w:rPr>
          <w:rFonts w:eastAsia="Arial"/>
          <w:sz w:val="24"/>
        </w:rPr>
        <w:fldChar w:fldCharType="begin" w:fldLock="1"/>
      </w:r>
      <w:r w:rsidRPr="00C1362F">
        <w:rPr>
          <w:rFonts w:eastAsia="Arial"/>
          <w:sz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(Endsley et al., 2020)</w:t>
      </w:r>
      <w:r w:rsidRPr="00C1362F">
        <w:rPr>
          <w:rFonts w:eastAsia="Arial"/>
          <w:sz w:val="24"/>
        </w:rPr>
        <w:fldChar w:fldCharType="end"/>
      </w:r>
      <w:r w:rsidRPr="00C1362F">
        <w:rPr>
          <w:rFonts w:eastAsia="Arial"/>
          <w:sz w:val="24"/>
        </w:rPr>
        <w:t xml:space="preserve"> for grasslands, and initial parameter ranges were obtained from literature review. The procedure was implemented using the BayesianTools package in R </w:t>
      </w:r>
      <w:r w:rsidRPr="00C1362F">
        <w:rPr>
          <w:rFonts w:eastAsia="Arial"/>
          <w:sz w:val="24"/>
        </w:rPr>
        <w:fldChar w:fldCharType="begin" w:fldLock="1"/>
      </w:r>
      <w:r w:rsidRPr="00C1362F">
        <w:rPr>
          <w:rFonts w:eastAsia="Arial"/>
          <w:sz w:val="24"/>
        </w:rPr>
        <w:instrText>ADDIN CSL_CITATION {"citationItems":[{"id":"ITEM-1","itemData":{"URL":"https://cran.r-project.org/web/packages/BayesianTools/index.html","abstract":"General-purpose MCMC and SMC samplers, as well as plot and diagnostic functions for Bayesian statistics, with a particular focus on calibrating complex system models. Implemented samplers include various Metropolis MCMC variants (including adaptive and/or delayed rejection MH), the T-walk, two differential evolution MCMCs, two DREAM MCMCs, and a sequential Monte Carlo (SMC) particle filter.","accessed":{"date-parts":[["2023","11","7"]]},"author":[{"dropping-particle":"","family":"Hartig","given":"Florian","non-dropping-particle":"","parse-names":false,"suffix":""},{"dropping-particle":"","family":"Minunno","given":"Francesco","non-dropping-particle":"","parse-names":false,"suffix":""},{"dropping-particle":"","family":"Paul","given":"Stefan","non-dropping-particle":"","parse-names":false,"suffix":""},{"dropping-particle":"","family":"Cameron","given":"David","non-dropping-particle":"","parse-names":false,"suffix":""},{"dropping-particle":"","family":"Tankred","given":"Ott","non-dropping-particle":"","parse-names":false,"suffix":""},{"dropping-particle":"","family":"Maximilian","given":"Pichler","non-dropping-particle":"","parse-names":false,"suffix":""}],"container-title":"R CRAN","id":"ITEM-1","issued":{"date-parts":[["2023"]]},"title":"BayesianTools: General-purpose MCMC and SMC samplers and tools for bayesian statistics","type":"webpage"},"uris":["http://www.mendeley.com/documents/?uuid=d6f17761-f4e3-40d8-99b9-123ae4420303"]}],"mendeley":{"formattedCitation":"(Hartig et al., 2023)","plainTextFormattedCitation":"(Hartig et al., 2023)","previouslyFormattedCitation":"(Hartig et al., 2023)"},"properties":{"noteIndex":0},"schema":"https://github.com/citation-style-language/schema/raw/master/csl-citation.json"}</w:instrText>
      </w:r>
      <w:r w:rsidRPr="00C1362F">
        <w:rPr>
          <w:rFonts w:eastAsia="Arial"/>
          <w:sz w:val="24"/>
        </w:rPr>
        <w:fldChar w:fldCharType="separate"/>
      </w:r>
      <w:r w:rsidRPr="00C1362F">
        <w:rPr>
          <w:rFonts w:eastAsia="Arial"/>
          <w:noProof/>
          <w:sz w:val="24"/>
        </w:rPr>
        <w:t>(Hartig et al., 2023)</w:t>
      </w:r>
      <w:r w:rsidRPr="00C1362F">
        <w:rPr>
          <w:rFonts w:eastAsia="Arial"/>
          <w:sz w:val="24"/>
        </w:rPr>
        <w:fldChar w:fldCharType="end"/>
      </w:r>
      <w:r w:rsidRPr="00C1362F">
        <w:rPr>
          <w:rFonts w:eastAsia="Arial"/>
          <w:sz w:val="24"/>
        </w:rPr>
        <w:t>. Three Markov chain Monte Carlo (MCMC) chains were run in parallel for 5,000 iterations to obtain posterior distributions of model parameters</w:t>
      </w:r>
      <w:r>
        <w:rPr>
          <w:rFonts w:eastAsia="Arial"/>
          <w:sz w:val="24"/>
        </w:rPr>
        <w:t xml:space="preserve"> with the assumption that the priors were weakly informative</w:t>
      </w:r>
      <w:r w:rsidRPr="00C1362F">
        <w:rPr>
          <w:rFonts w:eastAsia="Arial"/>
          <w:sz w:val="24"/>
        </w:rPr>
        <w:t xml:space="preserve">. </w:t>
      </w:r>
      <w:r>
        <w:rPr>
          <w:rFonts w:eastAsia="Arial"/>
          <w:sz w:val="24"/>
        </w:rPr>
        <w:lastRenderedPageBreak/>
        <w:t xml:space="preserve">Model convergence was examined using the scale reduction factor </w:t>
      </w:r>
      <w:r>
        <w:rPr>
          <w:rFonts w:eastAsia="Arial"/>
          <w:sz w:val="24"/>
        </w:rPr>
        <w:fldChar w:fldCharType="begin" w:fldLock="1"/>
      </w:r>
      <w:r>
        <w:rPr>
          <w:rFonts w:eastAsia="Arial"/>
          <w:sz w:val="24"/>
        </w:rPr>
        <w:instrText>ADDIN CSL_CITATION {"citationItems":[{"id":"ITEM-1","itemData":{"ISBN":"0412343908","ISSN":"0883-4237","PMID":"20948974","abstract":"This paper addresses the problem of aggregating a number of expert opinions which have been expressed in some numerical form in order to reflect individual uncertainty vis-a-vis a quantity of interest. The primary focus is consensus belief formation and expert use, although some relevant aspects of group decision making are also reviewed. A taxonomy of solutions is presented which serves as the framework for a survey of recent theoretical developments in the area. A number of current research directions are mentioned and an extensive, current annotated bibliography is included.","author":[{"dropping-particle":"","family":"Gelman","given":"Andrew","non-dropping-particle":"","parse-names":false,"suffix":""},{"dropping-particle":"","family":"Rubin","given":"Donald B.","non-dropping-particle":"","parse-names":false,"suffix":""}],"container-title":"Statistics","id":"ITEM-1","issue":"1","issued":{"date-parts":[["1989"]]},"page":"409-435","title":"Inference from iterative simulation using multiple sequences","type":"article-journal","volume":"10"},"uris":["http://www.mendeley.com/documents/?uuid=6d84632a-2460-40d7-8165-757db8d475e8"]}],"mendeley":{"formattedCitation":"(Gelman &amp; Rubin, 1989)","plainTextFormattedCitation":"(Gelman &amp; Rubin, 1989)","previouslyFormattedCitation":"(Gelman &amp; Rubin, 1989)"},"properties":{"noteIndex":0},"schema":"https://github.com/citation-style-language/schema/raw/master/csl-citation.json"}</w:instrText>
      </w:r>
      <w:r>
        <w:rPr>
          <w:rFonts w:eastAsia="Arial"/>
          <w:sz w:val="24"/>
        </w:rPr>
        <w:fldChar w:fldCharType="separate"/>
      </w:r>
      <w:r w:rsidRPr="00435E75">
        <w:rPr>
          <w:rFonts w:eastAsia="Arial"/>
          <w:noProof/>
          <w:sz w:val="24"/>
        </w:rPr>
        <w:t>(Gelman &amp; Rubin, 1989)</w:t>
      </w:r>
      <w:r>
        <w:rPr>
          <w:rFonts w:eastAsia="Arial"/>
          <w:sz w:val="24"/>
        </w:rPr>
        <w:fldChar w:fldCharType="end"/>
      </w:r>
      <w:r>
        <w:rPr>
          <w:rFonts w:eastAsia="Arial"/>
          <w:sz w:val="24"/>
        </w:rPr>
        <w:t>. The vegetation type</w:t>
      </w:r>
      <w:r w:rsidRPr="00C1362F">
        <w:rPr>
          <w:rFonts w:eastAsia="Arial"/>
          <w:sz w:val="24"/>
        </w:rPr>
        <w:t xml:space="preserve">-based model fits and results from leave-one-out cross-validation (LOOCV) for daily and cumulative (monthly, seasonal, and annual) GPP estimation were reported as </w:t>
      </w:r>
      <w:bookmarkStart w:id="8" w:name="_Hlk151393480"/>
      <w:r w:rsidRPr="00C1362F">
        <w:rPr>
          <w:rFonts w:eastAsia="Arial"/>
          <w:sz w:val="24"/>
        </w:rPr>
        <w:t>Coefficient of Determination (R</w:t>
      </w:r>
      <w:r w:rsidRPr="00C1362F">
        <w:rPr>
          <w:rFonts w:eastAsia="Arial"/>
          <w:sz w:val="24"/>
          <w:vertAlign w:val="superscript"/>
        </w:rPr>
        <w:t>2</w:t>
      </w:r>
      <w:r>
        <w:rPr>
          <w:rFonts w:eastAsia="Arial"/>
          <w:sz w:val="24"/>
        </w:rPr>
        <w:t xml:space="preserve">; </w:t>
      </w:r>
      <w:r w:rsidRPr="00C1362F">
        <w:rPr>
          <w:rFonts w:eastAsia="Arial"/>
          <w:sz w:val="24"/>
        </w:rPr>
        <w:t>Eq. 7), Root Mean Square Error (RMSE</w:t>
      </w:r>
      <w:r>
        <w:rPr>
          <w:rFonts w:eastAsia="Arial"/>
          <w:sz w:val="24"/>
        </w:rPr>
        <w:t xml:space="preserve">; </w:t>
      </w:r>
      <w:r w:rsidRPr="00C1362F">
        <w:rPr>
          <w:rFonts w:eastAsia="Arial"/>
          <w:sz w:val="24"/>
        </w:rPr>
        <w:t>Eq. 8), and Mean Bias Error (MBE</w:t>
      </w:r>
      <w:r>
        <w:rPr>
          <w:rFonts w:eastAsia="Arial"/>
          <w:sz w:val="24"/>
        </w:rPr>
        <w:t xml:space="preserve">; </w:t>
      </w:r>
      <w:r w:rsidRPr="00C1362F">
        <w:rPr>
          <w:rFonts w:eastAsia="Arial"/>
          <w:sz w:val="24"/>
        </w:rPr>
        <w:t>Eq. 9)</w:t>
      </w:r>
      <w:bookmarkEnd w:id="8"/>
      <w:r w:rsidRPr="00C1362F">
        <w:rPr>
          <w:rFonts w:eastAsia="Arial"/>
          <w:sz w:val="24"/>
        </w:rPr>
        <w:t xml:space="preserve"> for perennial and/or annual grass, </w:t>
      </w:r>
      <w:r w:rsidRPr="00C1362F">
        <w:rPr>
          <w:rFonts w:eastAsia="SimSun"/>
          <w:bCs/>
          <w:sz w:val="24"/>
          <w:szCs w:val="24"/>
        </w:rPr>
        <w:t>grass-shrub mixture</w:t>
      </w:r>
      <w:r w:rsidRPr="00C1362F">
        <w:rPr>
          <w:rFonts w:eastAsia="Arial"/>
          <w:sz w:val="24"/>
        </w:rPr>
        <w:t xml:space="preserve">, and </w:t>
      </w:r>
      <w:r w:rsidRPr="00C1362F">
        <w:rPr>
          <w:rFonts w:eastAsia="SimSun"/>
          <w:bCs/>
          <w:sz w:val="24"/>
          <w:szCs w:val="24"/>
        </w:rPr>
        <w:t>grass-tree mixture</w:t>
      </w:r>
      <w:r w:rsidRPr="00C1362F">
        <w:rPr>
          <w:rFonts w:eastAsia="Arial"/>
          <w:sz w:val="24"/>
        </w:rPr>
        <w:t xml:space="preserve"> classes. For the managed hay and pasture class, evaluation was presented as model validation results using perennial and/or annual grass-specific parameters due to the limited number of available training sites within the managed hay and pasture class. The model calibration procedure was also carried out using MODIS fPAR inputs to enable a comparison with the use of STARFM inputs. Detailed model comparison results are presented in SI: Appendix C.  </w:t>
      </w:r>
    </w:p>
    <w:p w14:paraId="725D03FE" w14:textId="77777777" w:rsidR="00F25462" w:rsidRPr="008D30D6" w:rsidRDefault="00000000" w:rsidP="00F25462">
      <w:pPr>
        <w:spacing w:before="120"/>
        <w:ind w:firstLine="720"/>
        <w:jc w:val="center"/>
        <w:rPr>
          <w:iCs/>
          <w:color w:val="000000"/>
          <w:sz w:val="24"/>
          <w:szCs w:val="24"/>
        </w:rPr>
      </w:pPr>
      <m:oMath>
        <m:sSup>
          <m:sSupPr>
            <m:ctrlPr>
              <w:rPr>
                <w:rFonts w:ascii="Cambria Math" w:hAnsi="Cambria Math"/>
                <w:iCs/>
                <w:color w:val="000000"/>
                <w:sz w:val="24"/>
                <w:szCs w:val="24"/>
              </w:rPr>
            </m:ctrlPr>
          </m:sSupPr>
          <m:e>
            <m:r>
              <m:rPr>
                <m:sty m:val="p"/>
              </m:rPr>
              <w:rPr>
                <w:rFonts w:ascii="Cambria Math" w:hAnsi="Cambria Math"/>
                <w:color w:val="000000"/>
                <w:sz w:val="24"/>
                <w:szCs w:val="24"/>
              </w:rPr>
              <m:t>R</m:t>
            </m:r>
          </m:e>
          <m:sup>
            <m:r>
              <m:rPr>
                <m:sty m:val="p"/>
              </m:rPr>
              <w:rPr>
                <w:rFonts w:ascii="Cambria Math" w:hAnsi="Cambria Math"/>
                <w:color w:val="000000"/>
                <w:sz w:val="24"/>
                <w:szCs w:val="24"/>
              </w:rPr>
              <m:t>2</m:t>
            </m:r>
          </m:sup>
        </m:sSup>
        <m:r>
          <m:rPr>
            <m:sty m:val="p"/>
          </m:rPr>
          <w:rPr>
            <w:rFonts w:ascii="Cambria Math" w:hAnsi="Cambria Math"/>
            <w:color w:val="000000"/>
            <w:sz w:val="24"/>
            <w:szCs w:val="24"/>
          </w:rPr>
          <m:t>=1-</m:t>
        </m:r>
        <m:f>
          <m:fPr>
            <m:ctrlPr>
              <w:rPr>
                <w:rFonts w:ascii="Cambria Math" w:hAnsi="Cambria Math"/>
                <w:iCs/>
                <w:color w:val="000000"/>
                <w:sz w:val="24"/>
                <w:szCs w:val="24"/>
              </w:rPr>
            </m:ctrlPr>
          </m:fPr>
          <m:num>
            <m:nary>
              <m:naryPr>
                <m:chr m:val="∑"/>
                <m:limLoc m:val="undOvr"/>
                <m:ctrlPr>
                  <w:rPr>
                    <w:rFonts w:ascii="Cambria Math" w:hAnsi="Cambria Math"/>
                    <w:iCs/>
                    <w:color w:val="000000"/>
                    <w:sz w:val="24"/>
                    <w:szCs w:val="24"/>
                  </w:rPr>
                </m:ctrlPr>
              </m:naryPr>
              <m:sub>
                <m:r>
                  <m:rPr>
                    <m:sty m:val="p"/>
                  </m:rPr>
                  <w:rPr>
                    <w:rFonts w:ascii="Cambria Math" w:hAnsi="Cambria Math"/>
                    <w:color w:val="000000"/>
                    <w:sz w:val="24"/>
                    <w:szCs w:val="24"/>
                  </w:rPr>
                  <m:t>i=1</m:t>
                </m:r>
              </m:sub>
              <m:sup>
                <m:r>
                  <m:rPr>
                    <m:sty m:val="p"/>
                  </m:rPr>
                  <w:rPr>
                    <w:rFonts w:ascii="Cambria Math" w:hAnsi="Cambria Math"/>
                    <w:color w:val="000000"/>
                    <w:sz w:val="24"/>
                    <w:szCs w:val="24"/>
                  </w:rPr>
                  <m:t>n</m:t>
                </m:r>
              </m:sup>
              <m:e>
                <m:sSup>
                  <m:sSupPr>
                    <m:ctrlPr>
                      <w:rPr>
                        <w:rFonts w:ascii="Cambria Math" w:hAnsi="Cambria Math"/>
                        <w:iCs/>
                        <w:color w:val="000000"/>
                        <w:sz w:val="24"/>
                        <w:szCs w:val="24"/>
                      </w:rPr>
                    </m:ctrlPr>
                  </m:sSupPr>
                  <m:e>
                    <m:d>
                      <m:dPr>
                        <m:ctrlPr>
                          <w:rPr>
                            <w:rFonts w:ascii="Cambria Math" w:hAnsi="Cambria Math"/>
                            <w:iCs/>
                            <w:color w:val="000000"/>
                            <w:sz w:val="24"/>
                            <w:szCs w:val="24"/>
                          </w:rPr>
                        </m:ctrlPr>
                      </m:dPr>
                      <m:e>
                        <m:sSub>
                          <m:sSubPr>
                            <m:ctrlPr>
                              <w:rPr>
                                <w:rFonts w:ascii="Cambria Math" w:hAnsi="Cambria Math"/>
                                <w:iCs/>
                                <w:color w:val="000000"/>
                                <w:sz w:val="24"/>
                                <w:szCs w:val="24"/>
                              </w:rPr>
                            </m:ctrlPr>
                          </m:sSubPr>
                          <m:e>
                            <m:r>
                              <m:rPr>
                                <m:sty m:val="p"/>
                              </m:rPr>
                              <w:rPr>
                                <w:rFonts w:ascii="Cambria Math" w:hAnsi="Cambria Math"/>
                                <w:color w:val="000000"/>
                                <w:sz w:val="24"/>
                                <w:szCs w:val="24"/>
                              </w:rPr>
                              <m:t>y</m:t>
                            </m:r>
                          </m:e>
                          <m:sub>
                            <m:r>
                              <m:rPr>
                                <m:sty m:val="p"/>
                              </m:rPr>
                              <w:rPr>
                                <w:rFonts w:ascii="Cambria Math" w:hAnsi="Cambria Math"/>
                                <w:color w:val="000000"/>
                                <w:sz w:val="24"/>
                                <w:szCs w:val="24"/>
                              </w:rPr>
                              <m:t>i</m:t>
                            </m:r>
                          </m:sub>
                        </m:sSub>
                        <m:r>
                          <m:rPr>
                            <m:sty m:val="p"/>
                          </m:rPr>
                          <w:rPr>
                            <w:rFonts w:ascii="Cambria Math" w:hAnsi="Cambria Math"/>
                            <w:color w:val="000000"/>
                            <w:sz w:val="24"/>
                            <w:szCs w:val="24"/>
                          </w:rPr>
                          <m:t>-</m:t>
                        </m:r>
                        <m:sSub>
                          <m:sSubPr>
                            <m:ctrlPr>
                              <w:rPr>
                                <w:rFonts w:ascii="Cambria Math" w:hAnsi="Cambria Math"/>
                                <w:iCs/>
                                <w:color w:val="000000"/>
                                <w:sz w:val="24"/>
                                <w:szCs w:val="24"/>
                              </w:rPr>
                            </m:ctrlPr>
                          </m:sSubPr>
                          <m:e>
                            <m:acc>
                              <m:accPr>
                                <m:ctrlPr>
                                  <w:rPr>
                                    <w:rFonts w:ascii="Cambria Math" w:hAnsi="Cambria Math"/>
                                    <w:iCs/>
                                    <w:color w:val="000000"/>
                                    <w:sz w:val="24"/>
                                    <w:szCs w:val="24"/>
                                  </w:rPr>
                                </m:ctrlPr>
                              </m:accPr>
                              <m:e>
                                <m:r>
                                  <m:rPr>
                                    <m:sty m:val="p"/>
                                  </m:rPr>
                                  <w:rPr>
                                    <w:rFonts w:ascii="Cambria Math" w:hAnsi="Cambria Math"/>
                                    <w:color w:val="000000"/>
                                    <w:sz w:val="24"/>
                                    <w:szCs w:val="24"/>
                                  </w:rPr>
                                  <m:t>y</m:t>
                                </m:r>
                              </m:e>
                            </m:acc>
                          </m:e>
                          <m:sub>
                            <m:r>
                              <m:rPr>
                                <m:sty m:val="p"/>
                              </m:rPr>
                              <w:rPr>
                                <w:rFonts w:ascii="Cambria Math" w:hAnsi="Cambria Math"/>
                                <w:color w:val="000000"/>
                                <w:sz w:val="24"/>
                                <w:szCs w:val="24"/>
                              </w:rPr>
                              <m:t>i</m:t>
                            </m:r>
                          </m:sub>
                        </m:sSub>
                      </m:e>
                    </m:d>
                  </m:e>
                  <m:sup>
                    <m:r>
                      <m:rPr>
                        <m:sty m:val="p"/>
                      </m:rPr>
                      <w:rPr>
                        <w:rFonts w:ascii="Cambria Math" w:hAnsi="Cambria Math"/>
                        <w:color w:val="000000"/>
                        <w:sz w:val="24"/>
                        <w:szCs w:val="24"/>
                      </w:rPr>
                      <m:t>2</m:t>
                    </m:r>
                  </m:sup>
                </m:sSup>
              </m:e>
            </m:nary>
          </m:num>
          <m:den>
            <m:nary>
              <m:naryPr>
                <m:chr m:val="∑"/>
                <m:limLoc m:val="undOvr"/>
                <m:ctrlPr>
                  <w:rPr>
                    <w:rFonts w:ascii="Cambria Math" w:hAnsi="Cambria Math"/>
                    <w:iCs/>
                    <w:color w:val="000000"/>
                    <w:sz w:val="24"/>
                    <w:szCs w:val="24"/>
                  </w:rPr>
                </m:ctrlPr>
              </m:naryPr>
              <m:sub>
                <m:r>
                  <m:rPr>
                    <m:sty m:val="p"/>
                  </m:rPr>
                  <w:rPr>
                    <w:rFonts w:ascii="Cambria Math" w:hAnsi="Cambria Math"/>
                    <w:color w:val="000000"/>
                    <w:sz w:val="24"/>
                    <w:szCs w:val="24"/>
                  </w:rPr>
                  <m:t>i=1</m:t>
                </m:r>
              </m:sub>
              <m:sup>
                <m:r>
                  <m:rPr>
                    <m:sty m:val="p"/>
                  </m:rPr>
                  <w:rPr>
                    <w:rFonts w:ascii="Cambria Math" w:hAnsi="Cambria Math"/>
                    <w:color w:val="000000"/>
                    <w:sz w:val="24"/>
                    <w:szCs w:val="24"/>
                  </w:rPr>
                  <m:t>n</m:t>
                </m:r>
              </m:sup>
              <m:e>
                <m:sSup>
                  <m:sSupPr>
                    <m:ctrlPr>
                      <w:rPr>
                        <w:rFonts w:ascii="Cambria Math" w:hAnsi="Cambria Math"/>
                        <w:iCs/>
                        <w:color w:val="000000"/>
                        <w:sz w:val="24"/>
                        <w:szCs w:val="24"/>
                      </w:rPr>
                    </m:ctrlPr>
                  </m:sSupPr>
                  <m:e>
                    <m:d>
                      <m:dPr>
                        <m:ctrlPr>
                          <w:rPr>
                            <w:rFonts w:ascii="Cambria Math" w:hAnsi="Cambria Math"/>
                            <w:iCs/>
                            <w:color w:val="000000"/>
                            <w:sz w:val="24"/>
                            <w:szCs w:val="24"/>
                          </w:rPr>
                        </m:ctrlPr>
                      </m:dPr>
                      <m:e>
                        <m:sSub>
                          <m:sSubPr>
                            <m:ctrlPr>
                              <w:rPr>
                                <w:rFonts w:ascii="Cambria Math" w:hAnsi="Cambria Math"/>
                                <w:iCs/>
                                <w:color w:val="000000"/>
                                <w:sz w:val="24"/>
                                <w:szCs w:val="24"/>
                              </w:rPr>
                            </m:ctrlPr>
                          </m:sSubPr>
                          <m:e>
                            <m:r>
                              <m:rPr>
                                <m:sty m:val="p"/>
                              </m:rPr>
                              <w:rPr>
                                <w:rFonts w:ascii="Cambria Math" w:hAnsi="Cambria Math"/>
                                <w:color w:val="000000"/>
                                <w:sz w:val="24"/>
                                <w:szCs w:val="24"/>
                              </w:rPr>
                              <m:t>y</m:t>
                            </m:r>
                          </m:e>
                          <m:sub>
                            <m:r>
                              <m:rPr>
                                <m:sty m:val="p"/>
                              </m:rPr>
                              <w:rPr>
                                <w:rFonts w:ascii="Cambria Math" w:hAnsi="Cambria Math"/>
                                <w:color w:val="000000"/>
                                <w:sz w:val="24"/>
                                <w:szCs w:val="24"/>
                              </w:rPr>
                              <m:t>i</m:t>
                            </m:r>
                          </m:sub>
                        </m:sSub>
                        <m:r>
                          <m:rPr>
                            <m:sty m:val="p"/>
                          </m:rPr>
                          <w:rPr>
                            <w:rFonts w:ascii="Cambria Math" w:hAnsi="Cambria Math"/>
                            <w:color w:val="000000"/>
                            <w:sz w:val="24"/>
                            <w:szCs w:val="24"/>
                          </w:rPr>
                          <m:t>-</m:t>
                        </m:r>
                        <m:acc>
                          <m:accPr>
                            <m:chr m:val="̅"/>
                            <m:ctrlPr>
                              <w:rPr>
                                <w:rFonts w:ascii="Cambria Math" w:hAnsi="Cambria Math"/>
                                <w:iCs/>
                                <w:color w:val="000000"/>
                                <w:sz w:val="24"/>
                                <w:szCs w:val="24"/>
                              </w:rPr>
                            </m:ctrlPr>
                          </m:accPr>
                          <m:e>
                            <m:r>
                              <m:rPr>
                                <m:sty m:val="p"/>
                              </m:rPr>
                              <w:rPr>
                                <w:rFonts w:ascii="Cambria Math" w:hAnsi="Cambria Math"/>
                                <w:color w:val="000000"/>
                                <w:sz w:val="24"/>
                                <w:szCs w:val="24"/>
                              </w:rPr>
                              <m:t>y</m:t>
                            </m:r>
                          </m:e>
                        </m:acc>
                      </m:e>
                    </m:d>
                  </m:e>
                  <m:sup>
                    <m:r>
                      <m:rPr>
                        <m:sty m:val="p"/>
                      </m:rPr>
                      <w:rPr>
                        <w:rFonts w:ascii="Cambria Math" w:hAnsi="Cambria Math"/>
                        <w:color w:val="000000"/>
                        <w:sz w:val="24"/>
                        <w:szCs w:val="24"/>
                      </w:rPr>
                      <m:t>2</m:t>
                    </m:r>
                  </m:sup>
                </m:sSup>
              </m:e>
            </m:nary>
          </m:den>
        </m:f>
      </m:oMath>
      <w:r w:rsidR="00F25462" w:rsidRPr="008D30D6">
        <w:rPr>
          <w:iCs/>
          <w:color w:val="000000"/>
          <w:sz w:val="24"/>
          <w:szCs w:val="24"/>
        </w:rPr>
        <w:t xml:space="preserve">      (Eq. 7)</w:t>
      </w:r>
    </w:p>
    <w:p w14:paraId="756F1F3B" w14:textId="77777777" w:rsidR="00F25462" w:rsidRPr="008D30D6" w:rsidRDefault="00F25462" w:rsidP="00F25462">
      <w:pPr>
        <w:spacing w:before="120"/>
        <w:ind w:firstLine="720"/>
        <w:jc w:val="center"/>
        <w:rPr>
          <w:iCs/>
          <w:color w:val="000000"/>
          <w:sz w:val="24"/>
          <w:szCs w:val="24"/>
        </w:rPr>
      </w:pPr>
      <m:oMath>
        <m:r>
          <m:rPr>
            <m:sty m:val="p"/>
          </m:rPr>
          <w:rPr>
            <w:rFonts w:ascii="Cambria Math" w:hAnsi="Cambria Math"/>
            <w:color w:val="000000"/>
            <w:sz w:val="24"/>
            <w:szCs w:val="24"/>
          </w:rPr>
          <m:t xml:space="preserve">RMSE= </m:t>
        </m:r>
        <m:rad>
          <m:radPr>
            <m:degHide m:val="1"/>
            <m:ctrlPr>
              <w:rPr>
                <w:rFonts w:ascii="Cambria Math" w:hAnsi="Cambria Math"/>
                <w:iCs/>
                <w:color w:val="000000"/>
                <w:sz w:val="24"/>
                <w:szCs w:val="24"/>
              </w:rPr>
            </m:ctrlPr>
          </m:radPr>
          <m:deg/>
          <m:e>
            <m:f>
              <m:fPr>
                <m:ctrlPr>
                  <w:rPr>
                    <w:rFonts w:ascii="Cambria Math" w:hAnsi="Cambria Math"/>
                    <w:iCs/>
                    <w:color w:val="000000"/>
                    <w:sz w:val="24"/>
                    <w:szCs w:val="24"/>
                  </w:rPr>
                </m:ctrlPr>
              </m:fPr>
              <m:num>
                <m:nary>
                  <m:naryPr>
                    <m:chr m:val="∑"/>
                    <m:limLoc m:val="undOvr"/>
                    <m:ctrlPr>
                      <w:rPr>
                        <w:rFonts w:ascii="Cambria Math" w:hAnsi="Cambria Math"/>
                        <w:iCs/>
                        <w:color w:val="000000"/>
                        <w:sz w:val="24"/>
                        <w:szCs w:val="24"/>
                      </w:rPr>
                    </m:ctrlPr>
                  </m:naryPr>
                  <m:sub>
                    <m:r>
                      <m:rPr>
                        <m:sty m:val="p"/>
                      </m:rPr>
                      <w:rPr>
                        <w:rFonts w:ascii="Cambria Math" w:hAnsi="Cambria Math"/>
                        <w:color w:val="000000"/>
                        <w:sz w:val="24"/>
                        <w:szCs w:val="24"/>
                      </w:rPr>
                      <m:t>i=1</m:t>
                    </m:r>
                  </m:sub>
                  <m:sup>
                    <m:r>
                      <m:rPr>
                        <m:sty m:val="p"/>
                      </m:rPr>
                      <w:rPr>
                        <w:rFonts w:ascii="Cambria Math" w:hAnsi="Cambria Math"/>
                        <w:color w:val="000000"/>
                        <w:sz w:val="24"/>
                        <w:szCs w:val="24"/>
                      </w:rPr>
                      <m:t>n</m:t>
                    </m:r>
                  </m:sup>
                  <m:e>
                    <m:sSup>
                      <m:sSupPr>
                        <m:ctrlPr>
                          <w:rPr>
                            <w:rFonts w:ascii="Cambria Math" w:hAnsi="Cambria Math"/>
                            <w:iCs/>
                            <w:color w:val="000000"/>
                            <w:sz w:val="24"/>
                            <w:szCs w:val="24"/>
                          </w:rPr>
                        </m:ctrlPr>
                      </m:sSupPr>
                      <m:e>
                        <m:d>
                          <m:dPr>
                            <m:ctrlPr>
                              <w:rPr>
                                <w:rFonts w:ascii="Cambria Math" w:hAnsi="Cambria Math"/>
                                <w:iCs/>
                                <w:color w:val="000000"/>
                                <w:sz w:val="24"/>
                                <w:szCs w:val="24"/>
                              </w:rPr>
                            </m:ctrlPr>
                          </m:dPr>
                          <m:e>
                            <m:sSub>
                              <m:sSubPr>
                                <m:ctrlPr>
                                  <w:rPr>
                                    <w:rFonts w:ascii="Cambria Math" w:hAnsi="Cambria Math"/>
                                    <w:iCs/>
                                    <w:color w:val="000000"/>
                                    <w:sz w:val="24"/>
                                    <w:szCs w:val="24"/>
                                  </w:rPr>
                                </m:ctrlPr>
                              </m:sSubPr>
                              <m:e>
                                <m:r>
                                  <m:rPr>
                                    <m:sty m:val="p"/>
                                  </m:rPr>
                                  <w:rPr>
                                    <w:rFonts w:ascii="Cambria Math" w:hAnsi="Cambria Math"/>
                                    <w:color w:val="000000"/>
                                    <w:sz w:val="24"/>
                                    <w:szCs w:val="24"/>
                                  </w:rPr>
                                  <m:t>y</m:t>
                                </m:r>
                              </m:e>
                              <m:sub>
                                <m:r>
                                  <m:rPr>
                                    <m:sty m:val="p"/>
                                  </m:rPr>
                                  <w:rPr>
                                    <w:rFonts w:ascii="Cambria Math" w:hAnsi="Cambria Math"/>
                                    <w:color w:val="000000"/>
                                    <w:sz w:val="24"/>
                                    <w:szCs w:val="24"/>
                                  </w:rPr>
                                  <m:t>i</m:t>
                                </m:r>
                              </m:sub>
                            </m:sSub>
                            <m:r>
                              <m:rPr>
                                <m:sty m:val="p"/>
                              </m:rPr>
                              <w:rPr>
                                <w:rFonts w:ascii="Cambria Math" w:hAnsi="Cambria Math"/>
                                <w:color w:val="000000"/>
                                <w:sz w:val="24"/>
                                <w:szCs w:val="24"/>
                              </w:rPr>
                              <m:t>-</m:t>
                            </m:r>
                            <m:sSub>
                              <m:sSubPr>
                                <m:ctrlPr>
                                  <w:rPr>
                                    <w:rFonts w:ascii="Cambria Math" w:hAnsi="Cambria Math"/>
                                    <w:iCs/>
                                    <w:color w:val="000000"/>
                                    <w:sz w:val="24"/>
                                    <w:szCs w:val="24"/>
                                  </w:rPr>
                                </m:ctrlPr>
                              </m:sSubPr>
                              <m:e>
                                <m:acc>
                                  <m:accPr>
                                    <m:ctrlPr>
                                      <w:rPr>
                                        <w:rFonts w:ascii="Cambria Math" w:hAnsi="Cambria Math"/>
                                        <w:iCs/>
                                        <w:color w:val="000000"/>
                                        <w:sz w:val="24"/>
                                        <w:szCs w:val="24"/>
                                      </w:rPr>
                                    </m:ctrlPr>
                                  </m:accPr>
                                  <m:e>
                                    <m:r>
                                      <m:rPr>
                                        <m:sty m:val="p"/>
                                      </m:rPr>
                                      <w:rPr>
                                        <w:rFonts w:ascii="Cambria Math" w:hAnsi="Cambria Math"/>
                                        <w:color w:val="000000"/>
                                        <w:sz w:val="24"/>
                                        <w:szCs w:val="24"/>
                                      </w:rPr>
                                      <m:t>y</m:t>
                                    </m:r>
                                  </m:e>
                                </m:acc>
                              </m:e>
                              <m:sub>
                                <m:r>
                                  <m:rPr>
                                    <m:sty m:val="p"/>
                                  </m:rPr>
                                  <w:rPr>
                                    <w:rFonts w:ascii="Cambria Math" w:hAnsi="Cambria Math"/>
                                    <w:color w:val="000000"/>
                                    <w:sz w:val="24"/>
                                    <w:szCs w:val="24"/>
                                  </w:rPr>
                                  <m:t>i</m:t>
                                </m:r>
                              </m:sub>
                            </m:sSub>
                          </m:e>
                        </m:d>
                      </m:e>
                      <m:sup>
                        <m:r>
                          <m:rPr>
                            <m:sty m:val="p"/>
                          </m:rPr>
                          <w:rPr>
                            <w:rFonts w:ascii="Cambria Math" w:hAnsi="Cambria Math"/>
                            <w:color w:val="000000"/>
                            <w:sz w:val="24"/>
                            <w:szCs w:val="24"/>
                          </w:rPr>
                          <m:t>2</m:t>
                        </m:r>
                      </m:sup>
                    </m:sSup>
                  </m:e>
                </m:nary>
              </m:num>
              <m:den>
                <m:r>
                  <m:rPr>
                    <m:sty m:val="p"/>
                  </m:rPr>
                  <w:rPr>
                    <w:rFonts w:ascii="Cambria Math" w:hAnsi="Cambria Math"/>
                    <w:color w:val="000000"/>
                    <w:sz w:val="24"/>
                    <w:szCs w:val="24"/>
                  </w:rPr>
                  <m:t>n</m:t>
                </m:r>
              </m:den>
            </m:f>
          </m:e>
        </m:rad>
      </m:oMath>
      <w:r w:rsidRPr="008D30D6">
        <w:rPr>
          <w:iCs/>
          <w:color w:val="000000"/>
          <w:sz w:val="24"/>
          <w:szCs w:val="24"/>
        </w:rPr>
        <w:t xml:space="preserve">     (Eq. 8)</w:t>
      </w:r>
    </w:p>
    <w:p w14:paraId="430E134B" w14:textId="77777777" w:rsidR="00F25462" w:rsidRPr="008D30D6" w:rsidRDefault="00F25462" w:rsidP="00F25462">
      <w:pPr>
        <w:spacing w:before="120"/>
        <w:ind w:firstLine="720"/>
        <w:jc w:val="center"/>
        <w:rPr>
          <w:iCs/>
          <w:color w:val="000000"/>
          <w:sz w:val="24"/>
          <w:szCs w:val="24"/>
        </w:rPr>
      </w:pPr>
      <m:oMath>
        <m:r>
          <m:rPr>
            <m:sty m:val="p"/>
          </m:rPr>
          <w:rPr>
            <w:rFonts w:ascii="Cambria Math" w:hAnsi="Cambria Math"/>
            <w:color w:val="000000"/>
            <w:sz w:val="24"/>
            <w:szCs w:val="24"/>
          </w:rPr>
          <m:t>MBE=</m:t>
        </m:r>
        <m:f>
          <m:fPr>
            <m:ctrlPr>
              <w:rPr>
                <w:rFonts w:ascii="Cambria Math" w:hAnsi="Cambria Math"/>
                <w:iCs/>
                <w:color w:val="000000"/>
                <w:sz w:val="24"/>
                <w:szCs w:val="24"/>
              </w:rPr>
            </m:ctrlPr>
          </m:fPr>
          <m:num>
            <m:nary>
              <m:naryPr>
                <m:chr m:val="∑"/>
                <m:limLoc m:val="undOvr"/>
                <m:ctrlPr>
                  <w:rPr>
                    <w:rFonts w:ascii="Cambria Math" w:hAnsi="Cambria Math"/>
                    <w:iCs/>
                    <w:color w:val="000000"/>
                    <w:sz w:val="24"/>
                    <w:szCs w:val="24"/>
                  </w:rPr>
                </m:ctrlPr>
              </m:naryPr>
              <m:sub>
                <m:r>
                  <m:rPr>
                    <m:sty m:val="p"/>
                  </m:rPr>
                  <w:rPr>
                    <w:rFonts w:ascii="Cambria Math" w:hAnsi="Cambria Math"/>
                    <w:color w:val="000000"/>
                    <w:sz w:val="24"/>
                    <w:szCs w:val="24"/>
                  </w:rPr>
                  <m:t>i=1</m:t>
                </m:r>
              </m:sub>
              <m:sup>
                <m:r>
                  <m:rPr>
                    <m:sty m:val="p"/>
                  </m:rPr>
                  <w:rPr>
                    <w:rFonts w:ascii="Cambria Math" w:hAnsi="Cambria Math"/>
                    <w:color w:val="000000"/>
                    <w:sz w:val="24"/>
                    <w:szCs w:val="24"/>
                  </w:rPr>
                  <m:t>n</m:t>
                </m:r>
              </m:sup>
              <m:e>
                <m:d>
                  <m:dPr>
                    <m:ctrlPr>
                      <w:rPr>
                        <w:rFonts w:ascii="Cambria Math" w:hAnsi="Cambria Math"/>
                        <w:iCs/>
                        <w:color w:val="000000"/>
                        <w:sz w:val="24"/>
                        <w:szCs w:val="24"/>
                      </w:rPr>
                    </m:ctrlPr>
                  </m:dPr>
                  <m:e>
                    <m:sSub>
                      <m:sSubPr>
                        <m:ctrlPr>
                          <w:rPr>
                            <w:rFonts w:ascii="Cambria Math" w:hAnsi="Cambria Math"/>
                            <w:iCs/>
                            <w:color w:val="000000"/>
                            <w:sz w:val="24"/>
                            <w:szCs w:val="24"/>
                          </w:rPr>
                        </m:ctrlPr>
                      </m:sSubPr>
                      <m:e>
                        <m:r>
                          <m:rPr>
                            <m:sty m:val="p"/>
                          </m:rPr>
                          <w:rPr>
                            <w:rFonts w:ascii="Cambria Math" w:hAnsi="Cambria Math"/>
                            <w:color w:val="000000"/>
                            <w:sz w:val="24"/>
                            <w:szCs w:val="24"/>
                          </w:rPr>
                          <m:t>y</m:t>
                        </m:r>
                      </m:e>
                      <m:sub>
                        <m:r>
                          <m:rPr>
                            <m:sty m:val="p"/>
                          </m:rPr>
                          <w:rPr>
                            <w:rFonts w:ascii="Cambria Math" w:hAnsi="Cambria Math"/>
                            <w:color w:val="000000"/>
                            <w:sz w:val="24"/>
                            <w:szCs w:val="24"/>
                          </w:rPr>
                          <m:t>i</m:t>
                        </m:r>
                      </m:sub>
                    </m:sSub>
                    <m:r>
                      <w:rPr>
                        <w:rFonts w:ascii="Cambria Math" w:hAnsi="Cambria Math"/>
                        <w:color w:val="000000"/>
                        <w:sz w:val="24"/>
                        <w:szCs w:val="24"/>
                      </w:rPr>
                      <m:t>-</m:t>
                    </m:r>
                    <m:sSub>
                      <m:sSubPr>
                        <m:ctrlPr>
                          <w:rPr>
                            <w:rFonts w:ascii="Cambria Math" w:hAnsi="Cambria Math"/>
                            <w:iCs/>
                            <w:color w:val="000000"/>
                            <w:sz w:val="24"/>
                            <w:szCs w:val="24"/>
                          </w:rPr>
                        </m:ctrlPr>
                      </m:sSubPr>
                      <m:e>
                        <m:acc>
                          <m:accPr>
                            <m:ctrlPr>
                              <w:rPr>
                                <w:rFonts w:ascii="Cambria Math" w:hAnsi="Cambria Math"/>
                                <w:iCs/>
                                <w:color w:val="000000"/>
                                <w:sz w:val="24"/>
                                <w:szCs w:val="24"/>
                              </w:rPr>
                            </m:ctrlPr>
                          </m:accPr>
                          <m:e>
                            <m:r>
                              <m:rPr>
                                <m:sty m:val="p"/>
                              </m:rPr>
                              <w:rPr>
                                <w:rFonts w:ascii="Cambria Math" w:hAnsi="Cambria Math"/>
                                <w:color w:val="000000"/>
                                <w:sz w:val="24"/>
                                <w:szCs w:val="24"/>
                              </w:rPr>
                              <m:t>y</m:t>
                            </m:r>
                          </m:e>
                        </m:acc>
                      </m:e>
                      <m:sub>
                        <m:r>
                          <m:rPr>
                            <m:sty m:val="p"/>
                          </m:rPr>
                          <w:rPr>
                            <w:rFonts w:ascii="Cambria Math" w:hAnsi="Cambria Math"/>
                            <w:color w:val="000000"/>
                            <w:sz w:val="24"/>
                            <w:szCs w:val="24"/>
                          </w:rPr>
                          <m:t>i</m:t>
                        </m:r>
                      </m:sub>
                    </m:sSub>
                  </m:e>
                </m:d>
              </m:e>
            </m:nary>
          </m:num>
          <m:den>
            <m:r>
              <m:rPr>
                <m:sty m:val="p"/>
              </m:rPr>
              <w:rPr>
                <w:rFonts w:ascii="Cambria Math" w:hAnsi="Cambria Math"/>
                <w:color w:val="000000"/>
                <w:sz w:val="24"/>
                <w:szCs w:val="24"/>
              </w:rPr>
              <m:t>n</m:t>
            </m:r>
          </m:den>
        </m:f>
        <m:r>
          <m:rPr>
            <m:sty m:val="p"/>
          </m:rPr>
          <w:rPr>
            <w:rFonts w:ascii="Cambria Math" w:hAnsi="Cambria Math"/>
            <w:color w:val="000000"/>
            <w:sz w:val="24"/>
            <w:szCs w:val="24"/>
          </w:rPr>
          <m:t xml:space="preserve"> </m:t>
        </m:r>
      </m:oMath>
      <w:r w:rsidRPr="008D30D6">
        <w:rPr>
          <w:iCs/>
          <w:color w:val="000000"/>
          <w:sz w:val="24"/>
          <w:szCs w:val="24"/>
        </w:rPr>
        <w:t xml:space="preserve">     (Eq. 9)</w:t>
      </w:r>
    </w:p>
    <w:p w14:paraId="0E06FDA4" w14:textId="77777777" w:rsidR="00F25462" w:rsidRPr="008D30D6" w:rsidRDefault="00F25462" w:rsidP="00F25462">
      <w:pPr>
        <w:spacing w:before="120"/>
        <w:ind w:firstLine="720"/>
        <w:jc w:val="both"/>
        <w:rPr>
          <w:rFonts w:eastAsia="Arial"/>
          <w:sz w:val="24"/>
          <w:szCs w:val="24"/>
        </w:rPr>
      </w:pPr>
      <w:r w:rsidRPr="008D30D6">
        <w:rPr>
          <w:rFonts w:eastAsia="Arial"/>
          <w:sz w:val="24"/>
          <w:szCs w:val="24"/>
        </w:rPr>
        <w:t xml:space="preserve">Where </w:t>
      </w:r>
      <m:oMath>
        <m:r>
          <w:rPr>
            <w:rFonts w:ascii="Cambria Math" w:eastAsia="Arial" w:hAnsi="Cambria Math"/>
            <w:sz w:val="24"/>
            <w:szCs w:val="24"/>
          </w:rPr>
          <m:t>n</m:t>
        </m:r>
      </m:oMath>
      <w:r w:rsidRPr="008D30D6">
        <w:rPr>
          <w:rFonts w:eastAsia="Arial"/>
          <w:sz w:val="24"/>
          <w:szCs w:val="24"/>
        </w:rPr>
        <w:t xml:space="preserve"> represents the number of samples, </w:t>
      </w:r>
      <m:oMath>
        <m:sSub>
          <m:sSubPr>
            <m:ctrlPr>
              <w:rPr>
                <w:rFonts w:ascii="Cambria Math" w:eastAsia="Arial" w:hAnsi="Cambria Math"/>
                <w:sz w:val="24"/>
                <w:szCs w:val="24"/>
              </w:rPr>
            </m:ctrlPr>
          </m:sSubPr>
          <m:e>
            <m:r>
              <w:rPr>
                <w:rFonts w:ascii="Cambria Math" w:eastAsia="Arial" w:hAnsi="Cambria Math"/>
                <w:sz w:val="24"/>
                <w:szCs w:val="24"/>
              </w:rPr>
              <m:t>y</m:t>
            </m:r>
          </m:e>
          <m:sub>
            <m:r>
              <w:rPr>
                <w:rFonts w:ascii="Cambria Math" w:eastAsia="Arial" w:hAnsi="Cambria Math"/>
                <w:sz w:val="24"/>
                <w:szCs w:val="24"/>
              </w:rPr>
              <m:t>i</m:t>
            </m:r>
          </m:sub>
        </m:sSub>
      </m:oMath>
      <w:r w:rsidRPr="008D30D6">
        <w:rPr>
          <w:rFonts w:eastAsia="Arial"/>
          <w:sz w:val="24"/>
          <w:szCs w:val="24"/>
        </w:rPr>
        <w:t xml:space="preserve"> represents observed value of sample </w:t>
      </w:r>
      <m:oMath>
        <m:r>
          <w:rPr>
            <w:rFonts w:ascii="Cambria Math" w:eastAsia="Arial" w:hAnsi="Cambria Math"/>
            <w:sz w:val="24"/>
            <w:szCs w:val="24"/>
          </w:rPr>
          <m:t>i</m:t>
        </m:r>
      </m:oMath>
      <w:r w:rsidRPr="008D30D6">
        <w:rPr>
          <w:rFonts w:eastAsia="Arial"/>
          <w:sz w:val="24"/>
          <w:szCs w:val="24"/>
        </w:rPr>
        <w:t xml:space="preserve">, </w:t>
      </w:r>
      <m:oMath>
        <m:sSub>
          <m:sSubPr>
            <m:ctrlPr>
              <w:rPr>
                <w:rFonts w:ascii="Cambria Math" w:eastAsia="Arial" w:hAnsi="Cambria Math"/>
                <w:sz w:val="24"/>
                <w:szCs w:val="24"/>
              </w:rPr>
            </m:ctrlPr>
          </m:sSubPr>
          <m:e>
            <m:acc>
              <m:accPr>
                <m:ctrlPr>
                  <w:rPr>
                    <w:rFonts w:ascii="Cambria Math" w:eastAsia="Arial" w:hAnsi="Cambria Math"/>
                    <w:sz w:val="24"/>
                    <w:szCs w:val="24"/>
                  </w:rPr>
                </m:ctrlPr>
              </m:accPr>
              <m:e>
                <m:r>
                  <w:rPr>
                    <w:rFonts w:ascii="Cambria Math" w:eastAsia="Arial" w:hAnsi="Cambria Math"/>
                    <w:sz w:val="24"/>
                    <w:szCs w:val="24"/>
                  </w:rPr>
                  <m:t>y</m:t>
                </m:r>
              </m:e>
            </m:acc>
          </m:e>
          <m:sub>
            <m:r>
              <w:rPr>
                <w:rFonts w:ascii="Cambria Math" w:eastAsia="Arial" w:hAnsi="Cambria Math"/>
                <w:sz w:val="24"/>
                <w:szCs w:val="24"/>
              </w:rPr>
              <m:t>i</m:t>
            </m:r>
          </m:sub>
        </m:sSub>
      </m:oMath>
      <w:r w:rsidRPr="008D30D6">
        <w:rPr>
          <w:rFonts w:eastAsia="Arial"/>
          <w:sz w:val="24"/>
          <w:szCs w:val="24"/>
        </w:rPr>
        <w:t xml:space="preserve"> represents the model predicted value of sample </w:t>
      </w:r>
      <m:oMath>
        <m:r>
          <w:rPr>
            <w:rFonts w:ascii="Cambria Math" w:eastAsia="Arial" w:hAnsi="Cambria Math"/>
            <w:sz w:val="24"/>
            <w:szCs w:val="24"/>
          </w:rPr>
          <m:t>i</m:t>
        </m:r>
      </m:oMath>
      <w:r w:rsidRPr="008D30D6">
        <w:rPr>
          <w:rFonts w:eastAsia="Arial"/>
          <w:sz w:val="24"/>
          <w:szCs w:val="24"/>
        </w:rPr>
        <w:t xml:space="preserve">, and </w:t>
      </w:r>
      <m:oMath>
        <m:acc>
          <m:accPr>
            <m:chr m:val="̅"/>
            <m:ctrlPr>
              <w:rPr>
                <w:rFonts w:ascii="Cambria Math" w:eastAsia="Arial" w:hAnsi="Cambria Math"/>
                <w:sz w:val="24"/>
                <w:szCs w:val="24"/>
              </w:rPr>
            </m:ctrlPr>
          </m:accPr>
          <m:e>
            <m:r>
              <w:rPr>
                <w:rFonts w:ascii="Cambria Math" w:eastAsia="Arial" w:hAnsi="Cambria Math"/>
                <w:sz w:val="24"/>
                <w:szCs w:val="24"/>
              </w:rPr>
              <m:t>y</m:t>
            </m:r>
          </m:e>
        </m:acc>
      </m:oMath>
      <w:r w:rsidRPr="008D30D6">
        <w:rPr>
          <w:rFonts w:eastAsia="Arial"/>
          <w:sz w:val="24"/>
          <w:szCs w:val="24"/>
        </w:rPr>
        <w:t xml:space="preserve"> represents the mean of observations.</w:t>
      </w:r>
    </w:p>
    <w:p w14:paraId="3D3D2471" w14:textId="56F20E77" w:rsidR="00F25462" w:rsidRPr="00C1362F" w:rsidRDefault="00F25462" w:rsidP="00F25462">
      <w:pPr>
        <w:pStyle w:val="Heading-Secondary"/>
      </w:pPr>
      <w:r w:rsidRPr="00C1362F">
        <w:t xml:space="preserve">2.6 Carbon </w:t>
      </w:r>
      <w:r>
        <w:t>m</w:t>
      </w:r>
      <w:r w:rsidRPr="00C1362F">
        <w:t xml:space="preserve">odel </w:t>
      </w:r>
      <w:r>
        <w:t>s</w:t>
      </w:r>
      <w:r w:rsidRPr="00C1362F">
        <w:t xml:space="preserve">pin-up, </w:t>
      </w:r>
      <w:r>
        <w:t>c</w:t>
      </w:r>
      <w:r w:rsidRPr="00C1362F">
        <w:t xml:space="preserve">alibration, and </w:t>
      </w:r>
      <w:r>
        <w:t>v</w:t>
      </w:r>
      <w:r w:rsidRPr="00C1362F">
        <w:t xml:space="preserve">alidation </w:t>
      </w:r>
    </w:p>
    <w:p w14:paraId="6DABCECD" w14:textId="77777777" w:rsidR="00F25462" w:rsidRPr="00C1362F" w:rsidRDefault="00F25462" w:rsidP="00F25462">
      <w:pPr>
        <w:spacing w:before="120"/>
        <w:ind w:firstLine="720"/>
        <w:jc w:val="both"/>
        <w:rPr>
          <w:rFonts w:eastAsia="Arial"/>
          <w:sz w:val="24"/>
        </w:rPr>
      </w:pPr>
      <w:r w:rsidRPr="00C1362F">
        <w:rPr>
          <w:rFonts w:eastAsia="Arial"/>
          <w:sz w:val="24"/>
        </w:rPr>
        <w:t xml:space="preserve">The RCTM model adopts SMAP’s L4C scheme </w:t>
      </w:r>
      <w:r w:rsidRPr="00C1362F">
        <w:rPr>
          <w:rFonts w:eastAsia="Arial"/>
          <w:sz w:val="24"/>
        </w:rPr>
        <w:fldChar w:fldCharType="begin" w:fldLock="1"/>
      </w:r>
      <w:r w:rsidRPr="00C1362F">
        <w:rPr>
          <w:rFonts w:eastAsia="Arial"/>
          <w:sz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Arial"/>
          <w:sz w:val="24"/>
        </w:rPr>
        <w:fldChar w:fldCharType="separate"/>
      </w:r>
      <w:r w:rsidRPr="00C1362F">
        <w:rPr>
          <w:rFonts w:eastAsia="Arial"/>
          <w:noProof/>
          <w:sz w:val="24"/>
        </w:rPr>
        <w:t>(Endsley et al., 2020)</w:t>
      </w:r>
      <w:r w:rsidRPr="00C1362F">
        <w:rPr>
          <w:rFonts w:eastAsia="Arial"/>
          <w:sz w:val="24"/>
        </w:rPr>
        <w:fldChar w:fldCharType="end"/>
      </w:r>
      <w:r w:rsidRPr="00C1362F">
        <w:rPr>
          <w:rFonts w:eastAsia="Arial"/>
          <w:sz w:val="24"/>
        </w:rPr>
        <w:t xml:space="preserve"> by allocating GPP into net primary productivity (NPP) and autotrophic respiration</w:t>
      </w:r>
      <w:r>
        <w:rPr>
          <w:rFonts w:eastAsia="Arial"/>
          <w:sz w:val="24"/>
        </w:rPr>
        <w:t xml:space="preserve">. The </w:t>
      </w:r>
      <w:r w:rsidRPr="00C1362F">
        <w:rPr>
          <w:rFonts w:eastAsia="Arial"/>
          <w:sz w:val="24"/>
        </w:rPr>
        <w:t xml:space="preserve">NPP </w:t>
      </w:r>
      <w:r>
        <w:rPr>
          <w:rFonts w:eastAsia="Arial"/>
          <w:sz w:val="24"/>
        </w:rPr>
        <w:t xml:space="preserve">was then </w:t>
      </w:r>
      <w:r w:rsidRPr="00C1362F">
        <w:rPr>
          <w:rFonts w:eastAsia="Arial"/>
          <w:sz w:val="24"/>
        </w:rPr>
        <w:t>partition</w:t>
      </w:r>
      <w:r>
        <w:rPr>
          <w:rFonts w:eastAsia="Arial"/>
          <w:sz w:val="24"/>
        </w:rPr>
        <w:t>ed</w:t>
      </w:r>
      <w:r w:rsidRPr="00C1362F">
        <w:rPr>
          <w:rFonts w:eastAsia="Arial"/>
          <w:sz w:val="24"/>
        </w:rPr>
        <w:t xml:space="preserve"> into aboveground and belowground biomass according to the </w:t>
      </w:r>
      <w:r>
        <w:rPr>
          <w:rFonts w:eastAsia="Arial"/>
          <w:sz w:val="24"/>
        </w:rPr>
        <w:t>vegetation type-</w:t>
      </w:r>
      <w:r w:rsidRPr="00C1362F">
        <w:rPr>
          <w:rFonts w:eastAsia="Arial"/>
          <w:sz w:val="24"/>
        </w:rPr>
        <w:t xml:space="preserve">specific root to shoot ratio. To account for the distribution of litter over time, we adopted DAYCENT’s algorithms </w:t>
      </w:r>
      <w:r w:rsidRPr="00C1362F">
        <w:rPr>
          <w:rFonts w:eastAsia="Arial"/>
          <w:sz w:val="24"/>
        </w:rPr>
        <w:fldChar w:fldCharType="begin" w:fldLock="1"/>
      </w:r>
      <w:r w:rsidRPr="00C1362F">
        <w:rPr>
          <w:rFonts w:eastAsia="Arial"/>
          <w:sz w:val="24"/>
        </w:rPr>
        <w:instrText>ADDIN CSL_CITATION {"citationItems":[{"id":"ITEM-1","itemData":{"DOI":"10.1016/S0921-8181(98)00040-X","ISBN":"0921-8181","ISSN":"09218181","abstract":"A land surface submodel was developed for the dally version of the CENTURY ecosystem model (DAYCENT). The goal of DAYCENT to simulate soil N2O, NO(x), and CH4 fluxes for terrestrial ecosystems determined the structure and processes represented in the land surface model. The land surface model was set up to simulate daily dynamics of soil water and temperature from a multi-layered soil system (0-1, 1-4, 4-15, 15-30 cm, etc.) and included surface runoff and above field capacity soil water dynamics during intense rainfall events and snowmelt into frozen soils. The comparison of the simulated soil water content (0-10 cm) with observed data from four sites was quite favorable (squared correlation coefficient -??2= 0.87, 0.65, 0.86 and 0.58) and the simulated results were comparable for the soil temperature model (r2 = 0.92 and 0.95 for minimum and maximum 10 cm soil temperatures). Detailed soil water and temperature data during snowmelt time periods and following rainfall events are needed to fully evaluate the performance of the water flow model.","author":[{"dropping-particle":"","family":"Parton","given":"William J.","non-dropping-particle":"","parse-names":false,"suffix":""},{"dropping-particle":"","family":"Hartman","given":"Melannie","non-dropping-particle":"","parse-names":false,"suffix":""},{"dropping-particle":"","family":"Ojima","given":"Dennis","non-dropping-particle":"","parse-names":false,"suffix":""},{"dropping-particle":"","family":"Schimel","given":"David","non-dropping-particle":"","parse-names":false,"suffix":""}],"container-title":"Global and Planetary Change","id":"ITEM-1","issue":"1-4","issued":{"date-parts":[["1998"]]},"page":"35-48","publisher":"Elsevier\\","title":"DAYCENT and its land surface submodel: Description and testing","type":"article","volume":"19"},"uris":["http://www.mendeley.com/documents/?uuid=d62e251e-af40-44d6-84bf-69ecb83678d2"]}],"mendeley":{"formattedCitation":"(Parton et al., 1998)","plainTextFormattedCitation":"(Parton et al., 1998)","previouslyFormattedCitation":"(Parton et al., 1998)"},"properties":{"noteIndex":0},"schema":"https://github.com/citation-style-language/schema/raw/master/csl-citation.json"}</w:instrText>
      </w:r>
      <w:r w:rsidRPr="00C1362F">
        <w:rPr>
          <w:rFonts w:eastAsia="Arial"/>
          <w:sz w:val="24"/>
        </w:rPr>
        <w:fldChar w:fldCharType="separate"/>
      </w:r>
      <w:r w:rsidRPr="00C1362F">
        <w:rPr>
          <w:rFonts w:eastAsia="Arial"/>
          <w:noProof/>
          <w:sz w:val="24"/>
        </w:rPr>
        <w:t>(Parton et al., 1998)</w:t>
      </w:r>
      <w:r w:rsidRPr="00C1362F">
        <w:rPr>
          <w:rFonts w:eastAsia="Arial"/>
          <w:sz w:val="24"/>
        </w:rPr>
        <w:fldChar w:fldCharType="end"/>
      </w:r>
      <w:r w:rsidRPr="00C1362F">
        <w:rPr>
          <w:rFonts w:eastAsia="Arial"/>
          <w:sz w:val="24"/>
        </w:rPr>
        <w:t xml:space="preserve"> to compute the amount of C transference from biomass pools into surface litter and dead roots for each time step. In this case, C flow is regulated by factors such as the day of the year and environmental modifiers including soil moisture and temperature. Subsequently, aboveground and belowground litter C were transferred into RCTM’s SOM module that is adapted from RothC </w:t>
      </w:r>
      <w:r w:rsidRPr="00C1362F">
        <w:rPr>
          <w:rFonts w:eastAsia="Arial"/>
          <w:sz w:val="24"/>
        </w:rPr>
        <w:fldChar w:fldCharType="begin" w:fldLock="1"/>
      </w:r>
      <w:r w:rsidRPr="00C1362F">
        <w:rPr>
          <w:rFonts w:eastAsia="Arial"/>
          <w:sz w:val="24"/>
        </w:rPr>
        <w:instrText>ADDIN CSL_CITATION {"citationItems":[{"id":"ITEM-1","itemData":{"DOI":"https://doi.org/10.1007/978-3-642-61094-3_17","author":[{"dropping-particle":"","family":"Coleman","given":"K.","non-dropping-particle":"","parse-names":false,"suffix":""},{"dropping-particle":"","family":"Jenkinson","given":"D. S","non-dropping-particle":"","parse-names":false,"suffix":""}],"container-title":"Evaluation of soil organic matter models: using existing long-term datasets","editor":[{"dropping-particle":"","family":"Powlson","given":"D.S.","non-dropping-particle":"","parse-names":false,"suffix":""},{"dropping-particle":"","family":"Smith","given":"P.","non-dropping-particle":"","parse-names":false,"suffix":""},{"dropping-particle":"","family":"Smith","given":"J.U.","non-dropping-particle":"","parse-names":false,"suffix":""}],"id":"ITEM-1","issued":{"date-parts":[["1996"]]},"page":"237-246","publisher":"Springer","publisher-place":"Berlin, Germany","title":"RothC-26.3-A Model for the turnover of carbon in soil","type":"chapter"},"uris":["http://www.mendeley.com/documents/?uuid=23741915-7cb0-43d0-acc8-f219cf95fdb4"]}],"mendeley":{"formattedCitation":"(Coleman &amp; Jenkinson, 1996)","plainTextFormattedCitation":"(Coleman &amp; Jenkinson, 1996)","previouslyFormattedCitation":"(Coleman &amp; Jenkinson, 1996)"},"properties":{"noteIndex":0},"schema":"https://github.com/citation-style-language/schema/raw/master/csl-citation.json"}</w:instrText>
      </w:r>
      <w:r w:rsidRPr="00C1362F">
        <w:rPr>
          <w:rFonts w:eastAsia="Arial"/>
          <w:sz w:val="24"/>
        </w:rPr>
        <w:fldChar w:fldCharType="separate"/>
      </w:r>
      <w:r w:rsidRPr="00C1362F">
        <w:rPr>
          <w:rFonts w:eastAsia="Arial"/>
          <w:noProof/>
          <w:sz w:val="24"/>
        </w:rPr>
        <w:t>(Coleman &amp; Jenkinson, 1996)</w:t>
      </w:r>
      <w:r w:rsidRPr="00C1362F">
        <w:rPr>
          <w:rFonts w:eastAsia="Arial"/>
          <w:sz w:val="24"/>
        </w:rPr>
        <w:fldChar w:fldCharType="end"/>
      </w:r>
      <w:r w:rsidRPr="00C1362F">
        <w:rPr>
          <w:rFonts w:eastAsia="Arial"/>
          <w:sz w:val="24"/>
        </w:rPr>
        <w:t xml:space="preserve">, which includes particulate organic C, humus organic C, and resistant organic C pools. The C flows among SOM pools are controlled by factors including soil texture, soil moisture, and soil temperature (SI: Fig. A3). </w:t>
      </w:r>
    </w:p>
    <w:p w14:paraId="732980CF" w14:textId="77777777" w:rsidR="00F25462" w:rsidRPr="00C1362F" w:rsidRDefault="00F25462" w:rsidP="00F25462">
      <w:pPr>
        <w:spacing w:before="120"/>
        <w:ind w:firstLine="720"/>
        <w:jc w:val="both"/>
        <w:rPr>
          <w:rFonts w:eastAsia="Arial"/>
          <w:sz w:val="24"/>
        </w:rPr>
      </w:pPr>
      <w:r w:rsidRPr="00C1362F">
        <w:rPr>
          <w:rFonts w:eastAsia="Arial"/>
          <w:sz w:val="24"/>
        </w:rPr>
        <w:t>In RCTM, biomass and soil C pools were initialized by running the model for 2,00</w:t>
      </w:r>
      <w:r>
        <w:rPr>
          <w:rFonts w:eastAsia="Arial"/>
          <w:sz w:val="24"/>
        </w:rPr>
        <w:t>0</w:t>
      </w:r>
      <w:r w:rsidRPr="00C1362F">
        <w:rPr>
          <w:rFonts w:eastAsia="Arial"/>
          <w:sz w:val="24"/>
        </w:rPr>
        <w:t xml:space="preserve"> years to reach an equilibrium</w:t>
      </w:r>
      <w:r>
        <w:rPr>
          <w:rFonts w:eastAsia="Arial"/>
          <w:sz w:val="24"/>
        </w:rPr>
        <w:t xml:space="preserve"> that ensures the </w:t>
      </w:r>
      <w:r w:rsidRPr="00CD6A31">
        <w:rPr>
          <w:rFonts w:eastAsia="Arial"/>
          <w:sz w:val="24"/>
        </w:rPr>
        <w:t xml:space="preserve">soil system </w:t>
      </w:r>
      <w:r>
        <w:rPr>
          <w:rFonts w:eastAsia="Arial"/>
          <w:sz w:val="24"/>
        </w:rPr>
        <w:t>is</w:t>
      </w:r>
      <w:r w:rsidRPr="00CD6A31">
        <w:rPr>
          <w:rFonts w:eastAsia="Arial"/>
          <w:sz w:val="24"/>
        </w:rPr>
        <w:t xml:space="preserve"> in equilibrium with the environmental conditions being simulated</w:t>
      </w:r>
      <w:r w:rsidRPr="00C1362F">
        <w:rPr>
          <w:rFonts w:eastAsia="Arial"/>
          <w:sz w:val="24"/>
        </w:rPr>
        <w:t>. The inputs for the spin-up were set to represent a “typical” condition for each site, for which we utilized STARFM fPAR, both surface 5 cm and root depth</w:t>
      </w:r>
      <w:r>
        <w:rPr>
          <w:rFonts w:eastAsia="Arial"/>
          <w:sz w:val="24"/>
        </w:rPr>
        <w:t xml:space="preserve"> (ca. 60 cm)</w:t>
      </w:r>
      <w:r w:rsidRPr="00C1362F">
        <w:rPr>
          <w:rFonts w:eastAsia="Arial"/>
          <w:sz w:val="24"/>
        </w:rPr>
        <w:t xml:space="preserve"> soil moisture, 5 cm soil temperature, and clay content from the 2002-2005 period. Soil moisture and temperature data were extracted from the NLDAS database </w:t>
      </w:r>
      <w:r w:rsidRPr="00C1362F">
        <w:rPr>
          <w:rFonts w:eastAsia="Arial"/>
          <w:sz w:val="24"/>
        </w:rPr>
        <w:fldChar w:fldCharType="begin" w:fldLock="1"/>
      </w:r>
      <w:r w:rsidRPr="00C1362F">
        <w:rPr>
          <w:rFonts w:eastAsia="Arial"/>
          <w:sz w:val="24"/>
        </w:rPr>
        <w:instrText>ADDIN CSL_CITATION {"citationItems":[{"id":"ITEM-1","itemData":{"URL":"https://disc.gsfc.nasa.gov/datasets/NLDAS_NOAH0125_H_002/summary","abstract":"Xia, Y., et al. (2012), NCEP/EMC (2014), Edited by David Mocko, NASA/GSFC/HSL, Greenbelt, Maryland, USA, Goddard Earth Sciences Data and Information Services Center (GES DISC)","accessed":{"date-parts":[["2022","11","7"]]},"author":[{"dropping-particle":"","family":"Xia","given":"Y.","non-dropping-particle":"","parse-names":false,"suffix":""},{"dropping-particle":"","family":"Mitchell","given":"K.","non-dropping-particle":"","parse-names":false,"suffix":""},{"dropping-particle":"","family":"Ek","given":"M.","non-dropping-particle":"","parse-names":false,"suffix":""},{"dropping-particle":"","family":"Sheffield","given":"J.","non-dropping-particle":"","parse-names":false,"suffix":""},{"dropping-particle":"","family":"Cosgrove","given":"B.","non-dropping-particle":"","parse-names":false,"suffix":""},{"dropping-particle":"","family":"Wood","given":"E.","non-dropping-particle":"","parse-names":false,"suffix":""},{"dropping-particle":"","family":"Luo","given":"L.","non-dropping-particle":"","parse-names":false,"suffix":""},{"dropping-particle":"","family":"Alonge","given":"C.","non-dropping-particle":"","parse-names":false,"suffix":""},{"dropping-particle":"","family":"Wei","given":"H.","non-dropping-particle":"","parse-names":false,"suffix":""},{"dropping-particle":"","family":"Meng","given":"J.","non-dropping-particle":"","parse-names":false,"suffix":""},{"dropping-particle":"","family":"Livneh","given":"B.","non-dropping-particle":"","parse-names":false,"suffix":""},{"dropping-particle":"","family":"Lettenmaier","given":"D.","non-dropping-particle":"","parse-names":false,"suffix":""},{"dropping-particle":"","family":"Koren","given":"V.","non-dropping-particle":"","parse-names":false,"suffix":""},{"dropping-particle":"","family":"Duan","given":"Q.","non-dropping-particle":"","parse-names":false,"suffix":""},{"dropping-particle":"","family":"Mo","given":"K.","non-dropping-particle":"","parse-names":false,"suffix":""},{"dropping-particle":"","family":"Fan","given":"Y.","non-dropping-particle":"","parse-names":false,"suffix":""},{"dropping-particle":"","family":"Mocko","given":"D.","non-dropping-particle":"","parse-names":false,"suffix":""}],"container-title":"Goddard Earth Sciences Data and Information Services Center (GES DISC)","id":"ITEM-1","issued":{"date-parts":[["2012"]]},"title":"NLDAS Noah Land Surface Model L4 Hourly 0.125 x 0.125 degree V002","type":"webpage"},"uris":["http://www.mendeley.com/documents/?uuid=3cd1c44a-806e-4c63-9cc8-2a8bf1a7e498"]}],"mendeley":{"formattedCitation":"(Y. Xia et al., 2012)","manualFormatting":"(Xia et al., 2012)","plainTextFormattedCitation":"(Y. Xia et al., 2012)","previouslyFormattedCitation":"(Y. Xia et al., 2012)"},"properties":{"noteIndex":0},"schema":"https://github.com/citation-style-language/schema/raw/master/csl-citation.json"}</w:instrText>
      </w:r>
      <w:r w:rsidRPr="00C1362F">
        <w:rPr>
          <w:rFonts w:eastAsia="Arial"/>
          <w:sz w:val="24"/>
        </w:rPr>
        <w:fldChar w:fldCharType="separate"/>
      </w:r>
      <w:r w:rsidRPr="00C1362F">
        <w:rPr>
          <w:rFonts w:eastAsia="Arial"/>
          <w:noProof/>
          <w:sz w:val="24"/>
        </w:rPr>
        <w:t>(Xia et al., 2012)</w:t>
      </w:r>
      <w:r w:rsidRPr="00C1362F">
        <w:rPr>
          <w:rFonts w:eastAsia="Arial"/>
          <w:sz w:val="24"/>
        </w:rPr>
        <w:fldChar w:fldCharType="end"/>
      </w:r>
      <w:r w:rsidRPr="00C1362F">
        <w:rPr>
          <w:rFonts w:eastAsia="Arial"/>
          <w:sz w:val="24"/>
        </w:rPr>
        <w:t xml:space="preserve">, and clay content were obtained from the SoilGrid+ product </w:t>
      </w:r>
      <w:r w:rsidRPr="00C1362F">
        <w:rPr>
          <w:rFonts w:eastAsia="Arial"/>
          <w:sz w:val="24"/>
        </w:rPr>
        <w:fldChar w:fldCharType="begin" w:fldLock="1"/>
      </w:r>
      <w:r w:rsidRPr="00C1362F">
        <w:rPr>
          <w:rFonts w:eastAsia="Arial"/>
          <w:sz w:val="24"/>
        </w:rPr>
        <w:instrText>ADDIN CSL_CITATION {"citationItems":[{"id":"ITEM-1","itemData":{"DOI":"10.2136/sssaj2017.04.0122","ISSN":"14350661","abstract":"With growing concern for the depletion of soil resources, conventional soil maps need to be updated and provided at finer and finer resolutions to be able to support spatially explicit human-landscape models. Three US soil point datasets-the National Cooperative Soil Survey Characterization Database, the National Soil Information System, and the Rapid Carbon Assessment dataset-were combined with a stack of over 200 environmental datasets and gSSURGO polygon maps to generate complete coverage gridded predictions at 100-m spatial resolution of six soil properties (percentage of organic C, total N, bulk density, pH, and percentage of sand and clay) and two US soil taxonomic classes (291 great groups [GGs] and 78 modified particle size classes [mPSCs]) for the conterminous United States. Models were built using parallelized random forest and gradient boosting algorithms as implemented in the ranger and xgboost packages for R. Soil property predictions were generated at seven standard soil depths (0, 5, 15, 30, 60, 100, and 200 cm). Prediction probability maps for US soil taxonomic classifications were also generated. Cross validation results indicated an out-of-bag classification accuracy of 60% for GGs and 66% for mPSCs; for soil properties, RMSE for leave-location-out cross-validation was 0.74 (R2 = 0.68), 17.8 wt% (R2 = 0.57), 12 wt% (R2 = 0.46), 3.63 wt% (R2 = 0.41), 0.2 g cm-3 (R2 = 0.42), and 0.27 wt% (R2 = 0.39) for pH, percent sand and clay, weight percentage of organic C, bulk density, and weight percentage of total N, respectively. Nine independent validation datasets were used to assess prediction accuracies for soil class models, and results ranged between 24 and 58% and between 24 and 93% for GG and mPSC prediction accuracies, respectively. Although mapping accuracies were variable and likely lower than gSSURGO in some areas, this modeling approach can enable easier integration of soil information with spatially explicit models compared with multicomponent map units.","author":[{"dropping-particle":"","family":"Ramcharan","given":"Amanda","non-dropping-particle":"","parse-names":false,"suffix":""},{"dropping-particle":"","family":"Hengl","given":"Tomislav","non-dropping-particle":"","parse-names":false,"suffix":""},{"dropping-particle":"","family":"Nauman","given":"Travis","non-dropping-particle":"","parse-names":false,"suffix":""},{"dropping-particle":"","family":"Brungard","given":"Colby","non-dropping-particle":"","parse-names":false,"suffix":""},{"dropping-particle":"","family":"Waltman","given":"Sharon","non-dropping-particle":"","parse-names":false,"suffix":""},{"dropping-particle":"","family":"Wills","given":"Skye","non-dropping-particle":"","parse-names":false,"suffix":""},{"dropping-particle":"","family":"Thompson","given":"James","non-dropping-particle":"","parse-names":false,"suffix":""}],"container-title":"Soil Science Society of America Journal","id":"ITEM-1","issue":"1","issued":{"date-parts":[["2018"]]},"page":"186-201","title":"Soil property and class maps of the conterminous United States at 100-meter spatial resolution","type":"article-journal","volume":"82"},"uris":["http://www.mendeley.com/documents/?uuid=f849021a-81e9-4e99-ab69-cce84b455fee"]}],"mendeley":{"formattedCitation":"(Ramcharan et al., 2018)","plainTextFormattedCitation":"(Ramcharan et al., 2018)","previouslyFormattedCitation":"(Ramcharan et al., 2018)"},"properties":{"noteIndex":0},"schema":"https://github.com/citation-style-language/schema/raw/master/csl-citation.json"}</w:instrText>
      </w:r>
      <w:r w:rsidRPr="00C1362F">
        <w:rPr>
          <w:rFonts w:eastAsia="Arial"/>
          <w:sz w:val="24"/>
        </w:rPr>
        <w:fldChar w:fldCharType="separate"/>
      </w:r>
      <w:r w:rsidRPr="00C1362F">
        <w:rPr>
          <w:rFonts w:eastAsia="Arial"/>
          <w:noProof/>
          <w:sz w:val="24"/>
        </w:rPr>
        <w:t>(Ramcharan et al., 2018)</w:t>
      </w:r>
      <w:r w:rsidRPr="00C1362F">
        <w:rPr>
          <w:rFonts w:eastAsia="Arial"/>
          <w:sz w:val="24"/>
        </w:rPr>
        <w:fldChar w:fldCharType="end"/>
      </w:r>
      <w:r w:rsidRPr="00C1362F">
        <w:rPr>
          <w:rFonts w:eastAsia="Arial"/>
          <w:sz w:val="24"/>
        </w:rPr>
        <w:t xml:space="preserve"> (Table 1). Before conducting NEE calibration, we performed model spin-up for all retained Ameriflux and NEON sites using default model parameters obtained from SMAP’s L4C, DAYCENT, and RothC models. GPP estimates, which are required for SOC calculation, were simulated using </w:t>
      </w:r>
      <w:r>
        <w:rPr>
          <w:rFonts w:eastAsia="Arial"/>
          <w:sz w:val="24"/>
        </w:rPr>
        <w:t>vegetation type</w:t>
      </w:r>
      <w:r w:rsidRPr="00C1362F">
        <w:rPr>
          <w:rFonts w:eastAsia="Arial"/>
          <w:sz w:val="24"/>
        </w:rPr>
        <w:t xml:space="preserve">-specific, calibrated GPP parameters and inputs specified in Section 2.5. Both GPP and </w:t>
      </w:r>
      <w:r>
        <w:rPr>
          <w:rFonts w:eastAsia="Arial"/>
          <w:sz w:val="24"/>
        </w:rPr>
        <w:t>environmental variable</w:t>
      </w:r>
      <w:r w:rsidRPr="00C1362F">
        <w:rPr>
          <w:rFonts w:eastAsia="Arial"/>
          <w:sz w:val="24"/>
        </w:rPr>
        <w:t xml:space="preserve"> datasets needed for model initialization were aggregated to a 5-day time step by averaging </w:t>
      </w:r>
      <w:r w:rsidRPr="00C1362F">
        <w:rPr>
          <w:rFonts w:eastAsia="Arial"/>
          <w:sz w:val="24"/>
        </w:rPr>
        <w:lastRenderedPageBreak/>
        <w:t>the results across all years. The goal was to obtain site-specific estimates of initial C pools to expedite the subsequent NEE calibration process.</w:t>
      </w:r>
    </w:p>
    <w:p w14:paraId="1A3F8C99" w14:textId="77777777" w:rsidR="00F25462" w:rsidRPr="00C1362F" w:rsidRDefault="00F25462" w:rsidP="00F25462">
      <w:pPr>
        <w:spacing w:before="120"/>
        <w:ind w:firstLine="720"/>
        <w:jc w:val="both"/>
        <w:rPr>
          <w:rFonts w:eastAsia="Arial"/>
          <w:sz w:val="24"/>
        </w:rPr>
      </w:pPr>
      <w:r w:rsidRPr="00C1362F">
        <w:rPr>
          <w:rFonts w:eastAsia="Arial"/>
          <w:sz w:val="24"/>
        </w:rPr>
        <w:t>The next step was to combine input datasets needed for NEE calibration with NEE measurements. The input data was generated at a five-day interval because of the STARFM output resolution. The combined dataset include</w:t>
      </w:r>
      <w:r>
        <w:rPr>
          <w:rFonts w:eastAsia="Arial"/>
          <w:sz w:val="24"/>
        </w:rPr>
        <w:t>s</w:t>
      </w:r>
      <w:r w:rsidRPr="00C1362F">
        <w:rPr>
          <w:rFonts w:eastAsia="Arial"/>
          <w:sz w:val="24"/>
        </w:rPr>
        <w:t xml:space="preserve"> 22,820 NEE observations (364 site-year combinations) from 59 sites, while a larger number of observations were available for the perennial and/or annual grass and </w:t>
      </w:r>
      <w:r w:rsidRPr="00C1362F">
        <w:rPr>
          <w:rFonts w:eastAsia="SimSun"/>
          <w:bCs/>
          <w:sz w:val="24"/>
          <w:szCs w:val="24"/>
        </w:rPr>
        <w:t>grass-shrub mixture</w:t>
      </w:r>
      <w:r w:rsidRPr="00C1362F">
        <w:rPr>
          <w:rFonts w:eastAsia="Arial"/>
          <w:sz w:val="24"/>
        </w:rPr>
        <w:t xml:space="preserve"> sites compared to the </w:t>
      </w:r>
      <w:r w:rsidRPr="00C1362F">
        <w:rPr>
          <w:rFonts w:eastAsia="SimSun"/>
          <w:bCs/>
          <w:sz w:val="24"/>
          <w:szCs w:val="24"/>
        </w:rPr>
        <w:t>grass-tree mixture</w:t>
      </w:r>
      <w:r w:rsidRPr="00C1362F">
        <w:rPr>
          <w:rFonts w:eastAsia="Arial"/>
          <w:sz w:val="24"/>
        </w:rPr>
        <w:t xml:space="preserve"> or managed hay and pasture sites (</w:t>
      </w:r>
      <w:r>
        <w:rPr>
          <w:rFonts w:eastAsia="Arial"/>
          <w:sz w:val="24"/>
        </w:rPr>
        <w:t xml:space="preserve">SI: </w:t>
      </w:r>
      <w:r w:rsidRPr="00C1362F">
        <w:rPr>
          <w:rFonts w:eastAsia="Arial"/>
          <w:sz w:val="24"/>
        </w:rPr>
        <w:t xml:space="preserve">Table B2). We then carried out model calibration by </w:t>
      </w:r>
      <w:r>
        <w:rPr>
          <w:rFonts w:eastAsia="Arial"/>
          <w:sz w:val="24"/>
        </w:rPr>
        <w:t>optimizing</w:t>
      </w:r>
      <w:r w:rsidRPr="00C1362F">
        <w:rPr>
          <w:rFonts w:eastAsia="Arial"/>
          <w:sz w:val="24"/>
        </w:rPr>
        <w:t xml:space="preserve"> </w:t>
      </w:r>
      <w:r>
        <w:rPr>
          <w:rFonts w:eastAsia="Arial"/>
          <w:sz w:val="24"/>
        </w:rPr>
        <w:t>vegetation type</w:t>
      </w:r>
      <w:r w:rsidRPr="00C1362F">
        <w:rPr>
          <w:rFonts w:eastAsia="Arial"/>
          <w:sz w:val="24"/>
        </w:rPr>
        <w:t xml:space="preserve">-specific parameters related to biomass partitioning, litterfall, and SOM decomposition (SI: Fig. A3) using NEE observations. In the calibration process, site-based estimates of initial C pools were used to spin up </w:t>
      </w:r>
      <w:r>
        <w:rPr>
          <w:rFonts w:eastAsia="Arial"/>
          <w:sz w:val="24"/>
        </w:rPr>
        <w:t xml:space="preserve">the </w:t>
      </w:r>
      <w:r w:rsidRPr="00C1362F">
        <w:rPr>
          <w:rFonts w:eastAsia="Arial"/>
          <w:sz w:val="24"/>
        </w:rPr>
        <w:t>model</w:t>
      </w:r>
      <w:r>
        <w:rPr>
          <w:rFonts w:eastAsia="Arial"/>
          <w:sz w:val="24"/>
        </w:rPr>
        <w:t xml:space="preserve"> and then </w:t>
      </w:r>
      <w:r w:rsidRPr="00C1362F">
        <w:rPr>
          <w:rFonts w:eastAsia="Arial"/>
          <w:sz w:val="24"/>
        </w:rPr>
        <w:t>calculat</w:t>
      </w:r>
      <w:r>
        <w:rPr>
          <w:rFonts w:eastAsia="Arial"/>
          <w:sz w:val="24"/>
        </w:rPr>
        <w:t>e</w:t>
      </w:r>
      <w:r w:rsidRPr="00C1362F">
        <w:rPr>
          <w:rFonts w:eastAsia="Arial"/>
          <w:sz w:val="24"/>
        </w:rPr>
        <w:t xml:space="preserve"> C fluxes for 2002-2022. The calibration was implemented </w:t>
      </w:r>
      <w:r>
        <w:rPr>
          <w:rFonts w:ascii="Times" w:eastAsia="Arial" w:hAnsi="Times" w:cs="Arial"/>
          <w:sz w:val="24"/>
        </w:rPr>
        <w:t>following the same procedure used for the GPP model (See Section 2.5)</w:t>
      </w:r>
      <w:r w:rsidRPr="00C1362F">
        <w:rPr>
          <w:rFonts w:eastAsia="Arial"/>
          <w:sz w:val="24"/>
        </w:rPr>
        <w:t xml:space="preserve">. Again, model calibration was </w:t>
      </w:r>
      <w:r>
        <w:rPr>
          <w:rFonts w:eastAsia="Arial"/>
          <w:sz w:val="24"/>
        </w:rPr>
        <w:t xml:space="preserve">also </w:t>
      </w:r>
      <w:r w:rsidRPr="00C1362F">
        <w:rPr>
          <w:rFonts w:eastAsia="Arial"/>
          <w:sz w:val="24"/>
        </w:rPr>
        <w:t xml:space="preserve">implemented using MODIS fPAR inputs to enable a comparison with the use of STARFM inputs, which is presented in SI: Appendix C. </w:t>
      </w:r>
      <w:r>
        <w:rPr>
          <w:rFonts w:eastAsia="Arial"/>
          <w:sz w:val="24"/>
        </w:rPr>
        <w:t xml:space="preserve">Moreover, we presented </w:t>
      </w:r>
      <w:r w:rsidRPr="00C1362F">
        <w:rPr>
          <w:rFonts w:eastAsia="Arial"/>
          <w:sz w:val="24"/>
        </w:rPr>
        <w:t>model performance for estimating RECO in SI: Appendix D</w:t>
      </w:r>
      <w:r>
        <w:rPr>
          <w:rFonts w:eastAsia="Arial"/>
          <w:sz w:val="24"/>
        </w:rPr>
        <w:t>, where the absolute values of RECO fluxes were calculated as the difference between GPP and NEE</w:t>
      </w:r>
      <w:r w:rsidRPr="00C1362F">
        <w:rPr>
          <w:rFonts w:eastAsia="Arial"/>
          <w:sz w:val="24"/>
        </w:rPr>
        <w:t>.</w:t>
      </w:r>
      <w:r>
        <w:rPr>
          <w:rFonts w:eastAsia="Arial"/>
          <w:sz w:val="24"/>
        </w:rPr>
        <w:t xml:space="preserve"> </w:t>
      </w:r>
    </w:p>
    <w:p w14:paraId="130185C1" w14:textId="77777777" w:rsidR="00F25462" w:rsidRPr="00C1362F" w:rsidRDefault="00F25462" w:rsidP="00F25462">
      <w:pPr>
        <w:spacing w:before="120"/>
        <w:ind w:firstLine="720"/>
        <w:jc w:val="both"/>
        <w:rPr>
          <w:rFonts w:eastAsia="Arial"/>
          <w:sz w:val="24"/>
        </w:rPr>
      </w:pPr>
      <w:r w:rsidRPr="00C1362F">
        <w:rPr>
          <w:rFonts w:eastAsia="Arial"/>
          <w:sz w:val="24"/>
        </w:rPr>
        <w:t xml:space="preserve">After obtaining </w:t>
      </w:r>
      <w:r>
        <w:rPr>
          <w:rFonts w:eastAsia="Arial"/>
          <w:sz w:val="24"/>
        </w:rPr>
        <w:t>vegetation type</w:t>
      </w:r>
      <w:r w:rsidRPr="00C1362F">
        <w:rPr>
          <w:rFonts w:eastAsia="Arial"/>
          <w:sz w:val="24"/>
        </w:rPr>
        <w:t xml:space="preserve">-specific parameters through GPP and NEE calibrations, we ran RCTM for NEON sites to derive estimates of surface depth SOC stocks. </w:t>
      </w:r>
      <w:r>
        <w:rPr>
          <w:rFonts w:eastAsia="Arial"/>
          <w:sz w:val="24"/>
        </w:rPr>
        <w:t>Because the depth represented by RCTM cannot be clearly defined considering the various depths represented by model input layers, t</w:t>
      </w:r>
      <w:r w:rsidRPr="00C1362F">
        <w:rPr>
          <w:rFonts w:eastAsia="Arial"/>
          <w:sz w:val="24"/>
        </w:rPr>
        <w:t xml:space="preserve">he results were compared against measurements of </w:t>
      </w:r>
      <w:r>
        <w:rPr>
          <w:rFonts w:eastAsia="Arial"/>
          <w:sz w:val="24"/>
        </w:rPr>
        <w:t xml:space="preserve">both </w:t>
      </w:r>
      <w:r w:rsidRPr="00C1362F">
        <w:rPr>
          <w:rFonts w:eastAsia="Arial"/>
          <w:sz w:val="24"/>
        </w:rPr>
        <w:t xml:space="preserve">0-30 cm </w:t>
      </w:r>
      <w:r>
        <w:rPr>
          <w:rFonts w:eastAsia="Arial"/>
          <w:sz w:val="24"/>
        </w:rPr>
        <w:t xml:space="preserve">and 0-100 cm </w:t>
      </w:r>
      <w:r w:rsidRPr="00C1362F">
        <w:rPr>
          <w:rFonts w:eastAsia="Arial"/>
          <w:sz w:val="24"/>
        </w:rPr>
        <w:t xml:space="preserve">SOC stocks from 13 NEON sites as an evaluation of model performance for </w:t>
      </w:r>
      <w:r>
        <w:rPr>
          <w:rFonts w:eastAsia="Arial"/>
          <w:sz w:val="24"/>
        </w:rPr>
        <w:t>ranking the amount of</w:t>
      </w:r>
      <w:r w:rsidRPr="00C1362F">
        <w:rPr>
          <w:rFonts w:eastAsia="Arial"/>
          <w:sz w:val="24"/>
        </w:rPr>
        <w:t xml:space="preserve"> SOC stocks in space. </w:t>
      </w:r>
    </w:p>
    <w:p w14:paraId="3C74EB1F" w14:textId="75760029" w:rsidR="00F25462" w:rsidRPr="00C1362F" w:rsidRDefault="00F25462" w:rsidP="00F25462">
      <w:pPr>
        <w:pStyle w:val="Heading-Secondary"/>
      </w:pPr>
      <w:r w:rsidRPr="00C1362F">
        <w:t xml:space="preserve">2.7 Estimates of </w:t>
      </w:r>
      <w:r>
        <w:t>c</w:t>
      </w:r>
      <w:r w:rsidRPr="00C1362F">
        <w:t xml:space="preserve">arbon </w:t>
      </w:r>
      <w:r>
        <w:t>f</w:t>
      </w:r>
      <w:r w:rsidRPr="00C1362F">
        <w:t xml:space="preserve">luxes for </w:t>
      </w:r>
      <w:r>
        <w:t>f</w:t>
      </w:r>
      <w:r w:rsidRPr="00C1362F">
        <w:t xml:space="preserve">lux </w:t>
      </w:r>
      <w:r>
        <w:t>t</w:t>
      </w:r>
      <w:r w:rsidRPr="00C1362F">
        <w:t xml:space="preserve">ower </w:t>
      </w:r>
      <w:r>
        <w:t>s</w:t>
      </w:r>
      <w:r w:rsidRPr="00C1362F">
        <w:t>ites</w:t>
      </w:r>
    </w:p>
    <w:p w14:paraId="6C6CCBF7" w14:textId="77777777" w:rsidR="00F25462" w:rsidRPr="00C1362F" w:rsidRDefault="00F25462" w:rsidP="00F25462">
      <w:pPr>
        <w:spacing w:before="120"/>
        <w:ind w:firstLine="720"/>
        <w:jc w:val="both"/>
        <w:rPr>
          <w:rFonts w:eastAsia="Arial"/>
          <w:sz w:val="24"/>
        </w:rPr>
      </w:pPr>
      <w:r w:rsidRPr="00C1362F">
        <w:rPr>
          <w:rFonts w:eastAsia="Arial"/>
          <w:sz w:val="24"/>
        </w:rPr>
        <w:t xml:space="preserve">The calibrated RCTM model was applied to all retained Ameriflux and NEON sites to derive estimates of GPP, NEE, and SOC stocks for a 20-year period (2003-2022). After averaging model outputs to annual results, the Pearson correlation was calculated in R between model </w:t>
      </w:r>
      <w:r>
        <w:rPr>
          <w:rFonts w:eastAsia="Arial"/>
          <w:sz w:val="24"/>
        </w:rPr>
        <w:t>input variables</w:t>
      </w:r>
      <w:r w:rsidRPr="00C1362F">
        <w:rPr>
          <w:rFonts w:eastAsia="Arial"/>
          <w:sz w:val="24"/>
        </w:rPr>
        <w:t xml:space="preserve"> and RCTM outputs for site-year combinations. The purpose of this analysis was to explore climate and soil controls on the spatio</w:t>
      </w:r>
      <w:r>
        <w:rPr>
          <w:rFonts w:eastAsia="Arial"/>
          <w:sz w:val="24"/>
        </w:rPr>
        <w:t>-</w:t>
      </w:r>
      <w:r w:rsidRPr="00C1362F">
        <w:rPr>
          <w:rFonts w:eastAsia="Arial"/>
          <w:sz w:val="24"/>
        </w:rPr>
        <w:t xml:space="preserve">temporal dynamics in C fluxes. We aggregated and visualized model simulation results with regards to changes in SOC and C fluxes over time by </w:t>
      </w:r>
      <w:r>
        <w:rPr>
          <w:rFonts w:eastAsia="Arial"/>
          <w:sz w:val="24"/>
        </w:rPr>
        <w:t>vegetation types</w:t>
      </w:r>
      <w:r w:rsidRPr="00C1362F">
        <w:rPr>
          <w:rFonts w:eastAsia="Arial"/>
          <w:sz w:val="24"/>
        </w:rPr>
        <w:t xml:space="preserve"> and </w:t>
      </w:r>
      <w:r>
        <w:rPr>
          <w:rFonts w:eastAsia="Arial"/>
          <w:sz w:val="24"/>
        </w:rPr>
        <w:t xml:space="preserve">geographic </w:t>
      </w:r>
      <w:r w:rsidRPr="00C1362F">
        <w:rPr>
          <w:rFonts w:eastAsia="Arial"/>
          <w:sz w:val="24"/>
        </w:rPr>
        <w:t xml:space="preserve">regions. Trend significance and slope of the time series data (GPP, NEE, and SOC) were calculated using a non-parametric Mann-Kendall test that detects monotonic upward or downward trends </w:t>
      </w:r>
      <w:r w:rsidRPr="00C1362F">
        <w:rPr>
          <w:rFonts w:eastAsia="Arial"/>
          <w:sz w:val="24"/>
        </w:rPr>
        <w:fldChar w:fldCharType="begin" w:fldLock="1"/>
      </w:r>
      <w:r w:rsidRPr="00C1362F">
        <w:rPr>
          <w:rFonts w:eastAsia="Arial"/>
          <w:sz w:val="24"/>
        </w:rPr>
        <w:instrText>ADDIN CSL_CITATION {"citationItems":[{"id":"ITEM-1","itemData":{"DOI":"10.1002/hyp.1095","ISSN":"08856087","abstract":"This study investigated using Monte Carlo simulation the interaction between a linear trend and a lag-one autoregressive (AR(1)) process when both exist in a time series. Simulation experiments demonstrated that the existence of serial correlation alters the variance of the estimate of the Mann-Kendall (MK) statistic; and the presence of a trend alters the estimate of the magnitude of serial correlation. Furthermore, it was shown that removal of a positive serial correlation component from time series by pre-whitening resulted in a reduction in the magnitude of the existing trend; and the removal of a trend component from a time series as a first step prior to pre-whitening eliminates the influence of the trend on the serial correlation and does not seriously affect the estimate of the true AR(1). These results indicate that the commonly used pre-whitening procedure for eliminating the effect of serial correlation on the MK test leads to potentially inaccurate assessments of the significance of a trend; and certain procedures will be more appropriate for eliminating the impact of serial correlation on the MK test. In essence, it was advocated that a trend first be removed in a series prior to ascertaining the magnitude of serial correlation. This alternative approach and the previously existing approaches were employed to assess the significance of a trend in serially correlated annual mean and annual minimum streamflow data of some pristine river basins in Ontario, Canada. Results indicate that, with the previously existing procedures, researchers and practitioners may have incorrectly identified the possibility of significant trends. Copyright © 2002 Environment Canada. Published by John Wiley and Sons, Ltd.","author":[{"dropping-particle":"","family":"Yue","given":"Sheng","non-dropping-particle":"","parse-names":false,"suffix":""},{"dropping-particle":"","family":"Pilon","given":"Paul","non-dropping-particle":"","parse-names":false,"suffix":""},{"dropping-particle":"","family":"Phinney","given":"Bob","non-dropping-particle":"","parse-names":false,"suffix":""},{"dropping-particle":"","family":"Cavadias","given":"George","non-dropping-particle":"","parse-names":false,"suffix":""}],"container-title":"Hydrological Processes","id":"ITEM-1","issue":"9","issued":{"date-parts":[["2002"]]},"page":"1807-1829","title":"The influence of autocorrelation on the ability to detect trend in hydrological series","type":"article-journal","volume":"16"},"uris":["http://www.mendeley.com/documents/?uuid=6356758c-3800-49c5-93b1-a9c940347ab8"]}],"mendeley":{"formattedCitation":"(Yue et al., 2002)","plainTextFormattedCitation":"(Yue et al., 2002)","previouslyFormattedCitation":"(Yue et al., 2002)"},"properties":{"noteIndex":0},"schema":"https://github.com/citation-style-language/schema/raw/master/csl-citation.json"}</w:instrText>
      </w:r>
      <w:r w:rsidRPr="00C1362F">
        <w:rPr>
          <w:rFonts w:eastAsia="Arial"/>
          <w:sz w:val="24"/>
        </w:rPr>
        <w:fldChar w:fldCharType="separate"/>
      </w:r>
      <w:r w:rsidRPr="00C1362F">
        <w:rPr>
          <w:rFonts w:eastAsia="Arial"/>
          <w:noProof/>
          <w:sz w:val="24"/>
        </w:rPr>
        <w:t>(Yue et al., 2002)</w:t>
      </w:r>
      <w:r w:rsidRPr="00C1362F">
        <w:rPr>
          <w:rFonts w:eastAsia="Arial"/>
          <w:sz w:val="24"/>
        </w:rPr>
        <w:fldChar w:fldCharType="end"/>
      </w:r>
      <w:r w:rsidRPr="00C1362F">
        <w:rPr>
          <w:rFonts w:eastAsia="Arial"/>
          <w:sz w:val="24"/>
        </w:rPr>
        <w:t xml:space="preserve">. The test was implemented in R with the ‘zyp’ package </w:t>
      </w:r>
      <w:r w:rsidRPr="00C1362F">
        <w:rPr>
          <w:rFonts w:eastAsia="Arial"/>
          <w:sz w:val="24"/>
        </w:rPr>
        <w:fldChar w:fldCharType="begin" w:fldLock="1"/>
      </w:r>
      <w:r w:rsidRPr="00C1362F">
        <w:rPr>
          <w:rFonts w:eastAsia="Arial"/>
          <w:sz w:val="24"/>
        </w:rPr>
        <w:instrText>ADDIN CSL_CITATION {"citationItems":[{"id":"ITEM-1","itemData":{"URL":"https://cran.r-project.org/web/packages/zyp/zyp.pdf","accessed":{"date-parts":[["2023","12","1"]]},"author":[{"dropping-particle":"","family":"Bronaugh","given":"David","non-dropping-particle":"","parse-names":false,"suffix":""},{"dropping-particle":"","family":"Schoeneberg","given":"Arelia","non-dropping-particle":"","parse-names":false,"suffix":""},{"dropping-particle":"","family":"Zeman","given":"Lee","non-dropping-particle":"","parse-names":false,"suffix":""}],"container-title":"R CRAN","id":"ITEM-1","issued":{"date-parts":[["2023"]]},"page":"1-9","title":"Package‘zyp’","type":"webpage"},"uris":["http://www.mendeley.com/documents/?uuid=c9adb9b4-7412-4024-aad3-c20e9bfadf2e"]}],"mendeley":{"formattedCitation":"(Bronaugh et al., 2023)","plainTextFormattedCitation":"(Bronaugh et al., 2023)","previouslyFormattedCitation":"(Bronaugh et al., 2023)"},"properties":{"noteIndex":0},"schema":"https://github.com/citation-style-language/schema/raw/master/csl-citation.json"}</w:instrText>
      </w:r>
      <w:r w:rsidRPr="00C1362F">
        <w:rPr>
          <w:rFonts w:eastAsia="Arial"/>
          <w:sz w:val="24"/>
        </w:rPr>
        <w:fldChar w:fldCharType="separate"/>
      </w:r>
      <w:r w:rsidRPr="00C1362F">
        <w:rPr>
          <w:rFonts w:eastAsia="Arial"/>
          <w:noProof/>
          <w:sz w:val="24"/>
        </w:rPr>
        <w:t>(Bronaugh et al., 2023)</w:t>
      </w:r>
      <w:r w:rsidRPr="00C1362F">
        <w:rPr>
          <w:rFonts w:eastAsia="Arial"/>
          <w:sz w:val="24"/>
        </w:rPr>
        <w:fldChar w:fldCharType="end"/>
      </w:r>
      <w:r w:rsidRPr="00C1362F">
        <w:rPr>
          <w:rFonts w:eastAsia="Arial"/>
          <w:sz w:val="24"/>
        </w:rPr>
        <w:t xml:space="preserve"> and applied to both individual Ameriflux/NEON sites and </w:t>
      </w:r>
      <w:r>
        <w:rPr>
          <w:rFonts w:eastAsia="Arial"/>
          <w:sz w:val="24"/>
        </w:rPr>
        <w:t xml:space="preserve">vegetation </w:t>
      </w:r>
      <w:r w:rsidRPr="00C1362F">
        <w:rPr>
          <w:rFonts w:eastAsia="Arial"/>
          <w:sz w:val="24"/>
        </w:rPr>
        <w:t xml:space="preserve">groups (SI: Appendix B). We also computed </w:t>
      </w:r>
      <w:r>
        <w:rPr>
          <w:rFonts w:eastAsia="Arial"/>
          <w:sz w:val="24"/>
        </w:rPr>
        <w:t xml:space="preserve">the </w:t>
      </w:r>
      <w:r w:rsidRPr="00C1362F">
        <w:rPr>
          <w:rFonts w:eastAsia="Arial"/>
          <w:sz w:val="24"/>
        </w:rPr>
        <w:t xml:space="preserve">correlation between site-based 20-year change in SOC stocks and climate, soil, and topographic </w:t>
      </w:r>
      <w:r>
        <w:rPr>
          <w:rFonts w:eastAsia="Arial"/>
          <w:sz w:val="24"/>
        </w:rPr>
        <w:t xml:space="preserve">variables </w:t>
      </w:r>
      <w:r w:rsidRPr="00C1362F">
        <w:rPr>
          <w:rFonts w:eastAsia="Arial"/>
          <w:sz w:val="24"/>
        </w:rPr>
        <w:t xml:space="preserve">(Table 1) to identify regional controlling factors for SOC sequestration in rangelands. Finally, </w:t>
      </w:r>
      <w:r>
        <w:rPr>
          <w:rFonts w:eastAsia="Arial"/>
          <w:sz w:val="24"/>
        </w:rPr>
        <w:t>a linear</w:t>
      </w:r>
      <w:r w:rsidRPr="00C1362F">
        <w:rPr>
          <w:rFonts w:eastAsia="Arial"/>
          <w:sz w:val="24"/>
        </w:rPr>
        <w:t xml:space="preserve"> model for estimating SOC stock changes was </w:t>
      </w:r>
      <w:r>
        <w:rPr>
          <w:rFonts w:eastAsia="Arial"/>
          <w:sz w:val="24"/>
        </w:rPr>
        <w:t>determined</w:t>
      </w:r>
      <w:r w:rsidRPr="00C1362F">
        <w:rPr>
          <w:rFonts w:eastAsia="Arial"/>
          <w:sz w:val="24"/>
        </w:rPr>
        <w:t xml:space="preserve"> through the application of a stepwise multiple linear regression (SMLR) approach in R using the Akaike Information Criterion </w:t>
      </w:r>
      <w:r w:rsidRPr="00C1362F">
        <w:rPr>
          <w:rFonts w:eastAsia="Arial"/>
          <w:sz w:val="24"/>
        </w:rPr>
        <w:fldChar w:fldCharType="begin" w:fldLock="1"/>
      </w:r>
      <w:r>
        <w:rPr>
          <w:rFonts w:eastAsia="Arial"/>
          <w:sz w:val="24"/>
        </w:rPr>
        <w:instrText>ADDIN CSL_CITATION {"citationItems":[{"id":"ITEM-1","itemData":{"author":[{"dropping-particle":"","family":"Bozdogan","given":"H.","non-dropping-particle":"","parse-names":false,"suffix":""}],"container-title":"Psychometrika","id":"ITEM-1","issue":"3","issued":{"date-parts":[["1987"]]},"page":"345-370","title":"Model selection and Akaike's Information Criterion (AIC): The general theory and its analytical extensions","type":"article-journal","volume":"52"},"uris":["http://www.mendeley.com/documents/?uuid=dbb189d8-3e7b-45e5-98a9-dcc6ab8cf78f"]}],"mendeley":{"formattedCitation":"(Bozdogan, 1987)","plainTextFormattedCitation":"(Bozdogan, 1987)","previouslyFormattedCitation":"(Bozdogan, 1987)"},"properties":{"noteIndex":0},"schema":"https://github.com/citation-style-language/schema/raw/master/csl-citation.json"}</w:instrText>
      </w:r>
      <w:r w:rsidRPr="00C1362F">
        <w:rPr>
          <w:rFonts w:eastAsia="Arial"/>
          <w:sz w:val="24"/>
        </w:rPr>
        <w:fldChar w:fldCharType="separate"/>
      </w:r>
      <w:r w:rsidRPr="00C1362F">
        <w:rPr>
          <w:rFonts w:eastAsia="Arial"/>
          <w:noProof/>
          <w:sz w:val="24"/>
        </w:rPr>
        <w:t>(Bozdogan, 1987)</w:t>
      </w:r>
      <w:r w:rsidRPr="00C1362F">
        <w:rPr>
          <w:rFonts w:eastAsia="Arial"/>
          <w:sz w:val="24"/>
        </w:rPr>
        <w:fldChar w:fldCharType="end"/>
      </w:r>
      <w:r w:rsidRPr="00C1362F">
        <w:rPr>
          <w:rFonts w:eastAsia="Arial"/>
          <w:sz w:val="24"/>
        </w:rPr>
        <w:t xml:space="preserve">. </w:t>
      </w:r>
    </w:p>
    <w:p w14:paraId="3F9E5721" w14:textId="77777777" w:rsidR="00F25462" w:rsidRDefault="00F25462" w:rsidP="00F25462"/>
    <w:p w14:paraId="6888E72E" w14:textId="012FEC0B" w:rsidR="002F3B11" w:rsidRDefault="002F3B11" w:rsidP="00C81368">
      <w:pPr>
        <w:pStyle w:val="Heading-Main"/>
      </w:pPr>
      <w:r>
        <w:lastRenderedPageBreak/>
        <w:t xml:space="preserve">3 </w:t>
      </w:r>
      <w:r w:rsidR="00E77D36" w:rsidRPr="00E77D36">
        <w:t>Results</w:t>
      </w:r>
    </w:p>
    <w:p w14:paraId="1666F3DA" w14:textId="20D02225" w:rsidR="00E77D36" w:rsidRPr="00C1362F" w:rsidRDefault="00E77D36" w:rsidP="00E77D36">
      <w:pPr>
        <w:pStyle w:val="Heading-Secondary"/>
      </w:pPr>
      <w:r w:rsidRPr="00C1362F">
        <w:t xml:space="preserve">3.1 Model </w:t>
      </w:r>
      <w:r>
        <w:t>a</w:t>
      </w:r>
      <w:r w:rsidRPr="00C1362F">
        <w:t xml:space="preserve">ccuracy for </w:t>
      </w:r>
      <w:r>
        <w:t>e</w:t>
      </w:r>
      <w:r w:rsidRPr="00C1362F">
        <w:t xml:space="preserve">stimating </w:t>
      </w:r>
      <w:r>
        <w:t>r</w:t>
      </w:r>
      <w:r w:rsidRPr="00C1362F">
        <w:t xml:space="preserve">angeland </w:t>
      </w:r>
      <w:r>
        <w:t>p</w:t>
      </w:r>
      <w:r w:rsidRPr="00C1362F">
        <w:t>roductivity</w:t>
      </w:r>
    </w:p>
    <w:p w14:paraId="06A5A620" w14:textId="77777777" w:rsidR="00E77D36" w:rsidRPr="00C1362F" w:rsidRDefault="00E77D36" w:rsidP="00E77D36">
      <w:pPr>
        <w:spacing w:before="120"/>
        <w:ind w:firstLine="720"/>
        <w:jc w:val="both"/>
        <w:rPr>
          <w:rFonts w:eastAsia="Arial"/>
          <w:sz w:val="24"/>
        </w:rPr>
      </w:pPr>
      <w:r w:rsidRPr="00C1362F">
        <w:rPr>
          <w:rFonts w:eastAsia="Arial"/>
          <w:sz w:val="24"/>
        </w:rPr>
        <w:t xml:space="preserve">The model performance associated with rangeland productivity prediction was evaluated using GPP modeling results. </w:t>
      </w:r>
      <w:r>
        <w:rPr>
          <w:rFonts w:eastAsia="Arial"/>
          <w:sz w:val="24"/>
        </w:rPr>
        <w:t>The performance</w:t>
      </w:r>
      <w:r w:rsidRPr="00C1362F">
        <w:rPr>
          <w:rFonts w:eastAsia="Arial"/>
          <w:sz w:val="24"/>
        </w:rPr>
        <w:t xml:space="preserve"> </w:t>
      </w:r>
      <w:r>
        <w:rPr>
          <w:rFonts w:eastAsia="Arial"/>
          <w:sz w:val="24"/>
        </w:rPr>
        <w:t xml:space="preserve">of the calibration model </w:t>
      </w:r>
      <w:r w:rsidRPr="00C1362F">
        <w:rPr>
          <w:rFonts w:eastAsia="Arial"/>
          <w:sz w:val="24"/>
        </w:rPr>
        <w:t xml:space="preserve">for </w:t>
      </w:r>
      <w:r>
        <w:rPr>
          <w:rFonts w:eastAsia="Arial"/>
          <w:sz w:val="24"/>
        </w:rPr>
        <w:t xml:space="preserve">estimating </w:t>
      </w:r>
      <w:r w:rsidRPr="00C1362F">
        <w:rPr>
          <w:rFonts w:eastAsia="Arial"/>
          <w:sz w:val="24"/>
        </w:rPr>
        <w:t xml:space="preserve">daily GPP was the best for the </w:t>
      </w:r>
      <w:r w:rsidRPr="00C1362F">
        <w:rPr>
          <w:rFonts w:eastAsia="SimSun"/>
          <w:bCs/>
          <w:sz w:val="24"/>
          <w:szCs w:val="24"/>
        </w:rPr>
        <w:t>grass-shrub mixture</w:t>
      </w:r>
      <w:r w:rsidRPr="00C1362F">
        <w:rPr>
          <w:rFonts w:eastAsia="Arial"/>
          <w:sz w:val="24"/>
        </w:rPr>
        <w:t xml:space="preserve"> sites (R</w:t>
      </w:r>
      <w:r w:rsidRPr="00C1362F">
        <w:rPr>
          <w:rFonts w:eastAsia="Arial"/>
          <w:sz w:val="24"/>
          <w:vertAlign w:val="superscript"/>
        </w:rPr>
        <w:t>2</w:t>
      </w:r>
      <w:r w:rsidRPr="00C1362F">
        <w:rPr>
          <w:rFonts w:eastAsia="Arial"/>
          <w:sz w:val="24"/>
        </w:rPr>
        <w:t xml:space="preserve"> = 0.70, RMSE = 0.9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xml:space="preserve">), followed by the </w:t>
      </w:r>
      <w:r w:rsidRPr="00C1362F">
        <w:rPr>
          <w:rFonts w:eastAsia="SimSun"/>
          <w:bCs/>
          <w:sz w:val="24"/>
          <w:szCs w:val="24"/>
        </w:rPr>
        <w:t>grass-tree mixture</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0.60, RMSE = 1.1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and perennial and/or annual grass sites (R</w:t>
      </w:r>
      <w:r w:rsidRPr="00C1362F">
        <w:rPr>
          <w:rFonts w:eastAsia="Arial"/>
          <w:sz w:val="24"/>
          <w:vertAlign w:val="superscript"/>
        </w:rPr>
        <w:t>2</w:t>
      </w:r>
      <w:r w:rsidRPr="00C1362F">
        <w:rPr>
          <w:rFonts w:eastAsia="Arial"/>
          <w:sz w:val="24"/>
        </w:rPr>
        <w:t xml:space="preserve"> = 0.58, RMSE = 2.2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(Fig. 3). The perennial and/or annual grass-specific model also obtained R</w:t>
      </w:r>
      <w:r w:rsidRPr="00C1362F">
        <w:rPr>
          <w:rFonts w:eastAsia="Arial"/>
          <w:sz w:val="24"/>
          <w:vertAlign w:val="superscript"/>
        </w:rPr>
        <w:t>2</w:t>
      </w:r>
      <w:r w:rsidRPr="00C1362F">
        <w:rPr>
          <w:rFonts w:eastAsia="Arial"/>
          <w:sz w:val="24"/>
        </w:rPr>
        <w:t xml:space="preserve"> = 0.55</w:t>
      </w:r>
      <w:r>
        <w:rPr>
          <w:rFonts w:eastAsia="Arial"/>
          <w:sz w:val="24"/>
        </w:rPr>
        <w:t xml:space="preserve"> and </w:t>
      </w:r>
      <w:r w:rsidRPr="00C1362F">
        <w:rPr>
          <w:rFonts w:eastAsia="Arial"/>
          <w:sz w:val="24"/>
        </w:rPr>
        <w:t xml:space="preserve">RMSE = 3.3 g </w:t>
      </w:r>
      <w:bookmarkStart w:id="9" w:name="_Hlk157160977"/>
      <w:r w:rsidRPr="00C1362F">
        <w:rPr>
          <w:rFonts w:eastAsia="Arial"/>
          <w:sz w:val="24"/>
        </w:rPr>
        <w:t>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bookmarkEnd w:id="9"/>
      <w:r w:rsidRPr="00C1362F">
        <w:rPr>
          <w:rFonts w:eastAsia="Arial"/>
          <w:sz w:val="24"/>
        </w:rPr>
        <w:t xml:space="preserve"> for estimating daily GPP from the managed hay and pasture sites. Using LOOCV, RCTM was shown to have R</w:t>
      </w:r>
      <w:r w:rsidRPr="00C1362F">
        <w:rPr>
          <w:rFonts w:eastAsia="Arial"/>
          <w:sz w:val="24"/>
          <w:vertAlign w:val="superscript"/>
        </w:rPr>
        <w:t>2</w:t>
      </w:r>
      <w:r w:rsidRPr="00C1362F">
        <w:rPr>
          <w:rFonts w:eastAsia="Arial"/>
          <w:sz w:val="24"/>
        </w:rPr>
        <w:t xml:space="preserve"> of approximately 0.60 for perennial and/or annual grass, </w:t>
      </w:r>
      <w:r w:rsidRPr="00C1362F">
        <w:rPr>
          <w:rFonts w:eastAsia="SimSun"/>
          <w:bCs/>
          <w:sz w:val="24"/>
          <w:szCs w:val="24"/>
        </w:rPr>
        <w:t>grass-shrub mixture</w:t>
      </w:r>
      <w:r w:rsidRPr="00C1362F">
        <w:rPr>
          <w:rFonts w:eastAsia="Arial"/>
          <w:sz w:val="24"/>
        </w:rPr>
        <w:t xml:space="preserve">, and </w:t>
      </w:r>
      <w:r w:rsidRPr="00C1362F">
        <w:rPr>
          <w:rFonts w:eastAsia="SimSun"/>
          <w:bCs/>
          <w:sz w:val="24"/>
          <w:szCs w:val="24"/>
        </w:rPr>
        <w:t>grass-tree mixture</w:t>
      </w:r>
      <w:r w:rsidRPr="00C1362F">
        <w:rPr>
          <w:rFonts w:eastAsia="Arial"/>
          <w:sz w:val="24"/>
        </w:rPr>
        <w:t xml:space="preserve"> sites. The MBE values associated with the models revealed a slight underestimation of GPP using model outputs compared to flux tower measurements-derived estimates.</w:t>
      </w:r>
      <w:r>
        <w:rPr>
          <w:rFonts w:eastAsia="Arial"/>
          <w:sz w:val="24"/>
        </w:rPr>
        <w:t xml:space="preserve"> This type of underestimation was the greatest for higher GPP observations.</w:t>
      </w:r>
    </w:p>
    <w:p w14:paraId="1BE2C862" w14:textId="05F646EF" w:rsidR="00E77D36" w:rsidRPr="00C1362F" w:rsidRDefault="00FA6A63" w:rsidP="00E77D36">
      <w:pPr>
        <w:spacing w:before="120"/>
        <w:jc w:val="center"/>
      </w:pPr>
      <w:bookmarkStart w:id="10" w:name="_Hlk152853370"/>
      <w:r>
        <w:rPr>
          <w:noProof/>
        </w:rPr>
        <w:drawing>
          <wp:inline distT="0" distB="0" distL="0" distR="0" wp14:anchorId="4E89BEE2" wp14:editId="06159B5F">
            <wp:extent cx="5935345" cy="4145915"/>
            <wp:effectExtent l="0" t="0" r="8255" b="6985"/>
            <wp:docPr id="9699397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35345" cy="4145915"/>
                    </a:xfrm>
                    <a:prstGeom prst="rect">
                      <a:avLst/>
                    </a:prstGeom>
                    <a:noFill/>
                    <a:ln>
                      <a:noFill/>
                    </a:ln>
                  </pic:spPr>
                </pic:pic>
              </a:graphicData>
            </a:graphic>
          </wp:inline>
        </w:drawing>
      </w:r>
    </w:p>
    <w:p w14:paraId="662E1843" w14:textId="02C94811" w:rsidR="00E77D36" w:rsidRPr="00C1362F" w:rsidRDefault="00E77D36" w:rsidP="00E77D36">
      <w:pPr>
        <w:spacing w:before="240"/>
        <w:jc w:val="both"/>
      </w:pPr>
      <w:r w:rsidRPr="00C1362F">
        <w:rPr>
          <w:rFonts w:eastAsia="Arial"/>
          <w:b/>
          <w:bCs/>
          <w:sz w:val="24"/>
        </w:rPr>
        <w:t>Figure 3.</w:t>
      </w:r>
      <w:r w:rsidRPr="00C1362F">
        <w:rPr>
          <w:rFonts w:eastAsia="Arial"/>
          <w:sz w:val="24"/>
        </w:rPr>
        <w:t xml:space="preserve"> </w:t>
      </w:r>
      <w:r>
        <w:rPr>
          <w:rFonts w:eastAsia="Arial"/>
          <w:sz w:val="24"/>
        </w:rPr>
        <w:t>G</w:t>
      </w:r>
      <w:r w:rsidRPr="00C1362F">
        <w:rPr>
          <w:rFonts w:eastAsia="Arial"/>
          <w:sz w:val="24"/>
        </w:rPr>
        <w:t>ross primary productivity (GPP) model performance shown as coefficient of determination (R</w:t>
      </w:r>
      <w:r w:rsidRPr="00C1362F">
        <w:rPr>
          <w:rFonts w:eastAsia="Arial"/>
          <w:sz w:val="24"/>
          <w:vertAlign w:val="superscript"/>
        </w:rPr>
        <w:t>2</w:t>
      </w:r>
      <w:r w:rsidRPr="00C1362F">
        <w:rPr>
          <w:rFonts w:eastAsia="Arial"/>
          <w:sz w:val="24"/>
        </w:rPr>
        <w:t>), root mean square error (RMSE</w:t>
      </w:r>
      <w:r>
        <w:rPr>
          <w:rFonts w:eastAsia="Arial"/>
          <w:sz w:val="24"/>
        </w:rPr>
        <w:t xml:space="preserve">, </w:t>
      </w:r>
      <w:r w:rsidRPr="00C1362F">
        <w:rPr>
          <w:rFonts w:eastAsia="Arial"/>
          <w:sz w:val="24"/>
        </w:rPr>
        <w:t>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and mean bias error (MBE</w:t>
      </w:r>
      <w:r>
        <w:rPr>
          <w:rFonts w:eastAsia="Arial"/>
          <w:sz w:val="24"/>
        </w:rPr>
        <w:t xml:space="preserve">, </w:t>
      </w:r>
      <w:r w:rsidRPr="00C1362F">
        <w:rPr>
          <w:rFonts w:eastAsia="Arial"/>
          <w:sz w:val="24"/>
        </w:rPr>
        <w:t>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xml:space="preserve">) for different </w:t>
      </w:r>
      <w:r>
        <w:rPr>
          <w:rFonts w:eastAsia="Arial"/>
          <w:sz w:val="24"/>
        </w:rPr>
        <w:t>vegetation classes</w:t>
      </w:r>
      <w:r w:rsidRPr="00C1362F">
        <w:rPr>
          <w:rFonts w:eastAsia="Arial"/>
          <w:sz w:val="24"/>
        </w:rPr>
        <w:t xml:space="preserve"> including (</w:t>
      </w:r>
      <w:r w:rsidR="00AA3564">
        <w:rPr>
          <w:rFonts w:eastAsia="Arial"/>
          <w:sz w:val="24"/>
        </w:rPr>
        <w:t>a</w:t>
      </w:r>
      <w:r w:rsidRPr="00C1362F">
        <w:rPr>
          <w:rFonts w:eastAsia="Arial"/>
          <w:sz w:val="24"/>
        </w:rPr>
        <w:t>) perennial and/or annual grass, (</w:t>
      </w:r>
      <w:r w:rsidR="00AA3564">
        <w:rPr>
          <w:rFonts w:eastAsia="Arial"/>
          <w:sz w:val="24"/>
        </w:rPr>
        <w:t>b</w:t>
      </w:r>
      <w:r w:rsidRPr="00C1362F">
        <w:rPr>
          <w:rFonts w:eastAsia="Arial"/>
          <w:sz w:val="24"/>
        </w:rPr>
        <w:t>) managed hay and pasture, (</w:t>
      </w:r>
      <w:r w:rsidR="00AA3564">
        <w:rPr>
          <w:rFonts w:eastAsia="Arial"/>
          <w:sz w:val="24"/>
        </w:rPr>
        <w:t>c</w:t>
      </w:r>
      <w:r w:rsidRPr="00C1362F">
        <w:rPr>
          <w:rFonts w:eastAsia="Arial"/>
          <w:sz w:val="24"/>
        </w:rPr>
        <w:t>) mixture of grass and shrub, and (</w:t>
      </w:r>
      <w:r w:rsidR="00AA3564">
        <w:rPr>
          <w:rFonts w:eastAsia="Arial"/>
          <w:sz w:val="24"/>
        </w:rPr>
        <w:t>d</w:t>
      </w:r>
      <w:r w:rsidRPr="00C1362F">
        <w:rPr>
          <w:rFonts w:eastAsia="Arial"/>
          <w:sz w:val="24"/>
        </w:rPr>
        <w:t xml:space="preserve">) mixture of grass and tree classes. Both model fits and leave-one-out cross-validation (LOOCV) results </w:t>
      </w:r>
      <w:r>
        <w:rPr>
          <w:rFonts w:eastAsia="Arial"/>
          <w:sz w:val="24"/>
        </w:rPr>
        <w:t>are</w:t>
      </w:r>
      <w:r w:rsidRPr="00C1362F">
        <w:rPr>
          <w:rFonts w:eastAsia="Arial"/>
          <w:sz w:val="24"/>
        </w:rPr>
        <w:t xml:space="preserve"> presented. Different colors represent different Ameriflux/NEON study sites. </w:t>
      </w:r>
    </w:p>
    <w:bookmarkEnd w:id="10"/>
    <w:p w14:paraId="1165B92E" w14:textId="77777777" w:rsidR="00E77D36" w:rsidRPr="00C1362F" w:rsidRDefault="00E77D36" w:rsidP="00E77D36">
      <w:pPr>
        <w:spacing w:before="120"/>
        <w:jc w:val="both"/>
        <w:rPr>
          <w:rFonts w:eastAsia="Arial"/>
          <w:sz w:val="24"/>
        </w:rPr>
      </w:pPr>
    </w:p>
    <w:p w14:paraId="067DD056" w14:textId="5B2161EB" w:rsidR="00E77D36" w:rsidRPr="00C1362F" w:rsidRDefault="00E77D36" w:rsidP="005B0B29">
      <w:pPr>
        <w:spacing w:before="120"/>
        <w:ind w:firstLine="720"/>
        <w:jc w:val="both"/>
        <w:rPr>
          <w:rFonts w:eastAsia="Arial"/>
          <w:sz w:val="24"/>
        </w:rPr>
      </w:pPr>
      <w:r>
        <w:rPr>
          <w:rFonts w:eastAsia="Arial"/>
          <w:sz w:val="24"/>
        </w:rPr>
        <w:lastRenderedPageBreak/>
        <w:t>M</w:t>
      </w:r>
      <w:r w:rsidRPr="00C1362F">
        <w:rPr>
          <w:rFonts w:eastAsia="Arial"/>
          <w:sz w:val="24"/>
        </w:rPr>
        <w:t>odel performance for estimating rangeland productivity is strongly impacted by the seasons (Fig. 4</w:t>
      </w:r>
      <w:r w:rsidR="005B0B29">
        <w:rPr>
          <w:rFonts w:eastAsia="Arial"/>
          <w:sz w:val="24"/>
        </w:rPr>
        <w:t>a</w:t>
      </w:r>
      <w:r w:rsidRPr="00C1362F">
        <w:rPr>
          <w:rFonts w:eastAsia="Arial"/>
          <w:sz w:val="24"/>
        </w:rPr>
        <w:t xml:space="preserve"> and </w:t>
      </w:r>
      <w:r w:rsidR="005B0B29">
        <w:rPr>
          <w:rFonts w:eastAsia="Arial"/>
          <w:sz w:val="24"/>
        </w:rPr>
        <w:t>c</w:t>
      </w:r>
      <w:r w:rsidRPr="00C1362F">
        <w:rPr>
          <w:rFonts w:eastAsia="Arial"/>
          <w:sz w:val="24"/>
        </w:rPr>
        <w:t>). During the growing season, model performance represented by R</w:t>
      </w:r>
      <w:r w:rsidRPr="00C1362F">
        <w:rPr>
          <w:rFonts w:eastAsia="Arial"/>
          <w:sz w:val="24"/>
          <w:vertAlign w:val="superscript"/>
        </w:rPr>
        <w:t>2</w:t>
      </w:r>
      <w:r w:rsidRPr="00C1362F">
        <w:rPr>
          <w:rFonts w:eastAsia="Arial"/>
          <w:sz w:val="24"/>
        </w:rPr>
        <w:t xml:space="preserve"> was significantly higher (between 0.5 and 0.7) for all </w:t>
      </w:r>
      <w:r>
        <w:rPr>
          <w:rFonts w:eastAsia="Arial"/>
          <w:sz w:val="24"/>
        </w:rPr>
        <w:t>vegetation types</w:t>
      </w:r>
      <w:r w:rsidRPr="00C1362F">
        <w:rPr>
          <w:rFonts w:eastAsia="Arial"/>
          <w:sz w:val="24"/>
        </w:rPr>
        <w:t xml:space="preserve"> compared to the winter season (Fig. 4</w:t>
      </w:r>
      <w:r w:rsidR="005B0B29">
        <w:rPr>
          <w:rFonts w:eastAsia="Arial"/>
          <w:sz w:val="24"/>
        </w:rPr>
        <w:t>a</w:t>
      </w:r>
      <w:r w:rsidRPr="00C1362F">
        <w:rPr>
          <w:rFonts w:eastAsia="Arial"/>
          <w:sz w:val="24"/>
        </w:rPr>
        <w:t xml:space="preserve">). The best model fit was achieved between June and August for perennial and/or annual grass and </w:t>
      </w:r>
      <w:r w:rsidRPr="00C1362F">
        <w:rPr>
          <w:rFonts w:eastAsia="SimSun"/>
          <w:bCs/>
          <w:sz w:val="24"/>
          <w:szCs w:val="24"/>
        </w:rPr>
        <w:t>grass-tree mixture</w:t>
      </w:r>
      <w:r w:rsidRPr="00C1362F">
        <w:rPr>
          <w:rFonts w:eastAsia="Arial"/>
          <w:sz w:val="24"/>
        </w:rPr>
        <w:t xml:space="preserve"> sites, while </w:t>
      </w:r>
      <w:r w:rsidRPr="00C1362F">
        <w:rPr>
          <w:rFonts w:eastAsia="SimSun"/>
          <w:bCs/>
          <w:sz w:val="24"/>
          <w:szCs w:val="24"/>
        </w:rPr>
        <w:t>grass-shrub mixture sites</w:t>
      </w:r>
      <w:r w:rsidRPr="00C1362F">
        <w:rPr>
          <w:rFonts w:eastAsia="Arial"/>
          <w:sz w:val="24"/>
        </w:rPr>
        <w:t xml:space="preserve"> had the best fit for March to May. However, it should be mentioned that the model RMSE was also </w:t>
      </w:r>
      <w:r>
        <w:rPr>
          <w:rFonts w:eastAsia="Arial"/>
          <w:sz w:val="24"/>
        </w:rPr>
        <w:t>noticeably</w:t>
      </w:r>
      <w:r w:rsidRPr="00C1362F">
        <w:rPr>
          <w:rFonts w:eastAsia="Arial"/>
          <w:sz w:val="24"/>
        </w:rPr>
        <w:t xml:space="preserve"> higher during the growing season because winter GPP values </w:t>
      </w:r>
      <w:r>
        <w:rPr>
          <w:rFonts w:eastAsia="Arial"/>
          <w:sz w:val="24"/>
        </w:rPr>
        <w:t>we</w:t>
      </w:r>
      <w:r w:rsidRPr="00C1362F">
        <w:rPr>
          <w:rFonts w:eastAsia="Arial"/>
          <w:sz w:val="24"/>
        </w:rPr>
        <w:t xml:space="preserve">re much lower in magnitude than those during the growing season. </w:t>
      </w:r>
      <w:r>
        <w:rPr>
          <w:rFonts w:eastAsia="Arial"/>
          <w:sz w:val="24"/>
        </w:rPr>
        <w:t xml:space="preserve">The results were similar among seasons for normalized RMSE values </w:t>
      </w:r>
      <w:r w:rsidRPr="00C1362F">
        <w:rPr>
          <w:rFonts w:eastAsia="Arial"/>
          <w:sz w:val="24"/>
        </w:rPr>
        <w:t>(Fig. 4</w:t>
      </w:r>
      <w:r w:rsidR="005B0B29">
        <w:rPr>
          <w:rFonts w:eastAsia="Arial"/>
          <w:sz w:val="24"/>
        </w:rPr>
        <w:t>c</w:t>
      </w:r>
      <w:r w:rsidRPr="00C1362F">
        <w:rPr>
          <w:rFonts w:eastAsia="Arial"/>
          <w:sz w:val="24"/>
        </w:rPr>
        <w:t>)</w:t>
      </w:r>
      <w:r>
        <w:rPr>
          <w:rFonts w:eastAsia="Arial"/>
          <w:sz w:val="24"/>
        </w:rPr>
        <w:t xml:space="preserve">. </w:t>
      </w:r>
    </w:p>
    <w:p w14:paraId="23AE36AE" w14:textId="717E464F" w:rsidR="00E77D36" w:rsidRPr="00C1362F" w:rsidRDefault="003F0387" w:rsidP="00E77D36">
      <w:pPr>
        <w:spacing w:before="120"/>
        <w:jc w:val="center"/>
        <w:rPr>
          <w:rFonts w:eastAsia="Arial"/>
          <w:b/>
          <w:bCs/>
          <w:sz w:val="24"/>
        </w:rPr>
      </w:pPr>
      <w:r>
        <w:rPr>
          <w:rFonts w:eastAsia="Arial"/>
          <w:b/>
          <w:bCs/>
          <w:noProof/>
          <w:sz w:val="24"/>
        </w:rPr>
        <w:drawing>
          <wp:inline distT="0" distB="0" distL="0" distR="0" wp14:anchorId="53D65209" wp14:editId="257D3F50">
            <wp:extent cx="5940807" cy="4577610"/>
            <wp:effectExtent l="0" t="0" r="3175" b="0"/>
            <wp:docPr id="86527153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a:ext>
                      </a:extLst>
                    </a:blip>
                    <a:srcRect/>
                    <a:stretch/>
                  </pic:blipFill>
                  <pic:spPr bwMode="auto">
                    <a:xfrm>
                      <a:off x="0" y="0"/>
                      <a:ext cx="5941060" cy="4577805"/>
                    </a:xfrm>
                    <a:prstGeom prst="rect">
                      <a:avLst/>
                    </a:prstGeom>
                    <a:noFill/>
                    <a:ln>
                      <a:noFill/>
                    </a:ln>
                    <a:extLst>
                      <a:ext uri="{53640926-AAD7-44D8-BBD7-CCE9431645EC}">
                        <a14:shadowObscured xmlns:a14="http://schemas.microsoft.com/office/drawing/2010/main"/>
                      </a:ext>
                    </a:extLst>
                  </pic:spPr>
                </pic:pic>
              </a:graphicData>
            </a:graphic>
          </wp:inline>
        </w:drawing>
      </w:r>
    </w:p>
    <w:p w14:paraId="6D7476F7" w14:textId="765CE368" w:rsidR="00E77D36" w:rsidRPr="00C1362F" w:rsidRDefault="00E77D36" w:rsidP="005B0B29">
      <w:pPr>
        <w:spacing w:before="240"/>
        <w:jc w:val="both"/>
        <w:rPr>
          <w:rFonts w:eastAsia="Arial"/>
          <w:sz w:val="24"/>
        </w:rPr>
      </w:pPr>
      <w:r w:rsidRPr="00C1362F">
        <w:rPr>
          <w:rFonts w:eastAsia="Arial"/>
          <w:b/>
          <w:bCs/>
          <w:sz w:val="24"/>
        </w:rPr>
        <w:t>Figure 4.</w:t>
      </w:r>
      <w:r w:rsidRPr="00C1362F">
        <w:rPr>
          <w:rFonts w:eastAsia="Arial"/>
          <w:sz w:val="24"/>
        </w:rPr>
        <w:t xml:space="preserve"> The model performance for estimating (</w:t>
      </w:r>
      <w:r w:rsidR="00DA32CC">
        <w:rPr>
          <w:rFonts w:eastAsia="Arial"/>
          <w:sz w:val="24"/>
        </w:rPr>
        <w:t>a</w:t>
      </w:r>
      <w:r w:rsidRPr="00C1362F">
        <w:rPr>
          <w:rFonts w:eastAsia="Arial"/>
          <w:sz w:val="24"/>
        </w:rPr>
        <w:t xml:space="preserve">) gross primary productivity (GPP) </w:t>
      </w:r>
      <w:r w:rsidR="00AA3564" w:rsidRPr="00C1362F">
        <w:rPr>
          <w:rFonts w:eastAsia="Arial"/>
          <w:sz w:val="24"/>
        </w:rPr>
        <w:t>represented by coefficient of determination (R</w:t>
      </w:r>
      <w:r w:rsidR="00AA3564" w:rsidRPr="00C1362F">
        <w:rPr>
          <w:rFonts w:eastAsia="Arial"/>
          <w:sz w:val="24"/>
          <w:vertAlign w:val="superscript"/>
        </w:rPr>
        <w:t>2</w:t>
      </w:r>
      <w:r w:rsidR="00AA3564" w:rsidRPr="00C1362F">
        <w:rPr>
          <w:rFonts w:eastAsia="Arial"/>
          <w:sz w:val="24"/>
        </w:rPr>
        <w:t>)</w:t>
      </w:r>
      <w:r w:rsidR="00AA3564">
        <w:rPr>
          <w:rFonts w:eastAsia="Arial"/>
          <w:sz w:val="24"/>
        </w:rPr>
        <w:t>,</w:t>
      </w:r>
      <w:r w:rsidR="00AA3564" w:rsidRPr="00C1362F">
        <w:rPr>
          <w:rFonts w:eastAsia="Arial"/>
          <w:sz w:val="24"/>
        </w:rPr>
        <w:t xml:space="preserve"> </w:t>
      </w:r>
      <w:r w:rsidRPr="00C1362F">
        <w:rPr>
          <w:rFonts w:eastAsia="Arial"/>
          <w:sz w:val="24"/>
        </w:rPr>
        <w:t>(</w:t>
      </w:r>
      <w:r w:rsidR="00DA32CC">
        <w:rPr>
          <w:rFonts w:eastAsia="Arial"/>
          <w:sz w:val="24"/>
        </w:rPr>
        <w:t>b</w:t>
      </w:r>
      <w:r w:rsidRPr="00C1362F">
        <w:rPr>
          <w:rFonts w:eastAsia="Arial"/>
          <w:sz w:val="24"/>
        </w:rPr>
        <w:t xml:space="preserve">) net ecosystem exchange </w:t>
      </w:r>
      <w:r>
        <w:rPr>
          <w:rFonts w:eastAsia="Arial"/>
          <w:sz w:val="24"/>
        </w:rPr>
        <w:t>of CO</w:t>
      </w:r>
      <w:r w:rsidRPr="00C12A82">
        <w:rPr>
          <w:rFonts w:eastAsia="Arial"/>
          <w:sz w:val="24"/>
          <w:vertAlign w:val="subscript"/>
        </w:rPr>
        <w:t>2</w:t>
      </w:r>
      <w:r w:rsidRPr="00C1362F">
        <w:rPr>
          <w:rFonts w:eastAsia="Arial"/>
          <w:sz w:val="24"/>
        </w:rPr>
        <w:t xml:space="preserve"> (NEE)</w:t>
      </w:r>
      <w:r>
        <w:rPr>
          <w:rFonts w:eastAsia="Arial"/>
          <w:sz w:val="24"/>
        </w:rPr>
        <w:t xml:space="preserve"> </w:t>
      </w:r>
      <w:r w:rsidR="00AA3564">
        <w:rPr>
          <w:rFonts w:eastAsia="Arial"/>
          <w:sz w:val="24"/>
        </w:rPr>
        <w:t xml:space="preserve">represented by </w:t>
      </w:r>
      <w:r w:rsidR="00AA3564" w:rsidRPr="00C1362F">
        <w:rPr>
          <w:rFonts w:eastAsia="Arial"/>
          <w:sz w:val="24"/>
        </w:rPr>
        <w:t>R</w:t>
      </w:r>
      <w:r w:rsidR="00AA3564" w:rsidRPr="00C1362F">
        <w:rPr>
          <w:rFonts w:eastAsia="Arial"/>
          <w:sz w:val="24"/>
          <w:vertAlign w:val="superscript"/>
        </w:rPr>
        <w:t>2</w:t>
      </w:r>
      <w:r w:rsidR="00AA3564">
        <w:rPr>
          <w:rFonts w:eastAsia="Arial"/>
          <w:sz w:val="24"/>
        </w:rPr>
        <w:t xml:space="preserve">, (c) GPP represented by </w:t>
      </w:r>
      <w:r w:rsidR="00AA3564" w:rsidRPr="00C1362F">
        <w:rPr>
          <w:rFonts w:eastAsia="Arial"/>
          <w:sz w:val="24"/>
        </w:rPr>
        <w:t>root mean square error (RMSE</w:t>
      </w:r>
      <w:r w:rsidR="00AA3564">
        <w:rPr>
          <w:rFonts w:eastAsia="Arial"/>
          <w:sz w:val="24"/>
        </w:rPr>
        <w:t xml:space="preserve">, </w:t>
      </w:r>
      <w:r w:rsidR="00AA3564" w:rsidRPr="00C1362F">
        <w:rPr>
          <w:rFonts w:eastAsia="Arial"/>
          <w:sz w:val="24"/>
        </w:rPr>
        <w:t>C m</w:t>
      </w:r>
      <w:r w:rsidR="00AA3564" w:rsidRPr="00C1362F">
        <w:rPr>
          <w:rFonts w:eastAsia="Arial"/>
          <w:sz w:val="24"/>
          <w:vertAlign w:val="superscript"/>
        </w:rPr>
        <w:t>-2</w:t>
      </w:r>
      <w:r w:rsidR="00AA3564" w:rsidRPr="00C1362F">
        <w:rPr>
          <w:rFonts w:eastAsia="Arial"/>
          <w:sz w:val="24"/>
        </w:rPr>
        <w:t xml:space="preserve"> </w:t>
      </w:r>
      <w:r w:rsidR="00AA3564">
        <w:rPr>
          <w:rFonts w:eastAsia="Arial"/>
          <w:sz w:val="24"/>
        </w:rPr>
        <w:t>per seasonal cumulative</w:t>
      </w:r>
      <w:r w:rsidR="00AA3564" w:rsidRPr="00C1362F">
        <w:rPr>
          <w:rFonts w:eastAsia="Arial"/>
          <w:sz w:val="24"/>
        </w:rPr>
        <w:t>)</w:t>
      </w:r>
      <w:r w:rsidR="00AA3564">
        <w:rPr>
          <w:rFonts w:eastAsia="Arial"/>
          <w:sz w:val="24"/>
        </w:rPr>
        <w:t>, and NEE represented by RMSE. The results are</w:t>
      </w:r>
      <w:r w:rsidRPr="00C1362F">
        <w:rPr>
          <w:rFonts w:eastAsia="Arial"/>
          <w:sz w:val="24"/>
        </w:rPr>
        <w:t xml:space="preserve"> averaged from sites grouped by four seasons including </w:t>
      </w:r>
      <w:r>
        <w:rPr>
          <w:rFonts w:eastAsia="Arial"/>
          <w:sz w:val="24"/>
        </w:rPr>
        <w:t>S</w:t>
      </w:r>
      <w:r w:rsidRPr="00C1362F">
        <w:rPr>
          <w:rFonts w:eastAsia="Arial"/>
          <w:sz w:val="24"/>
        </w:rPr>
        <w:t xml:space="preserve">1 (Dec, Jan, Feb), </w:t>
      </w:r>
      <w:r>
        <w:rPr>
          <w:rFonts w:eastAsia="Arial"/>
          <w:sz w:val="24"/>
        </w:rPr>
        <w:t>S</w:t>
      </w:r>
      <w:r w:rsidRPr="00C1362F">
        <w:rPr>
          <w:rFonts w:eastAsia="Arial"/>
          <w:sz w:val="24"/>
        </w:rPr>
        <w:t xml:space="preserve">2 (Mar, Apr, May), </w:t>
      </w:r>
      <w:r>
        <w:rPr>
          <w:rFonts w:eastAsia="Arial"/>
          <w:sz w:val="24"/>
        </w:rPr>
        <w:t>S</w:t>
      </w:r>
      <w:r w:rsidRPr="00C1362F">
        <w:rPr>
          <w:rFonts w:eastAsia="Arial"/>
          <w:sz w:val="24"/>
        </w:rPr>
        <w:t xml:space="preserve">3 (Jun, Jul, Aug), and </w:t>
      </w:r>
      <w:r>
        <w:rPr>
          <w:rFonts w:eastAsia="Arial"/>
          <w:sz w:val="24"/>
        </w:rPr>
        <w:t>S</w:t>
      </w:r>
      <w:r w:rsidRPr="00C1362F">
        <w:rPr>
          <w:rFonts w:eastAsia="Arial"/>
          <w:sz w:val="24"/>
        </w:rPr>
        <w:t xml:space="preserve">4 (Sep, Oct, Nov). The model performance </w:t>
      </w:r>
      <w:r>
        <w:rPr>
          <w:rFonts w:eastAsia="Arial"/>
          <w:sz w:val="24"/>
        </w:rPr>
        <w:t>is</w:t>
      </w:r>
      <w:r w:rsidRPr="00C1362F">
        <w:rPr>
          <w:rFonts w:eastAsia="Arial"/>
          <w:sz w:val="24"/>
        </w:rPr>
        <w:t xml:space="preserve"> presented for </w:t>
      </w:r>
      <w:bookmarkStart w:id="11" w:name="_Hlk155805670"/>
      <w:r w:rsidRPr="00C1362F">
        <w:rPr>
          <w:rFonts w:eastAsia="Arial"/>
          <w:sz w:val="24"/>
        </w:rPr>
        <w:t>perennial and/or annual grass</w:t>
      </w:r>
      <w:bookmarkEnd w:id="11"/>
      <w:r w:rsidRPr="00C1362F">
        <w:rPr>
          <w:rFonts w:eastAsia="Arial"/>
          <w:sz w:val="24"/>
        </w:rPr>
        <w:t xml:space="preserve"> (PAG) sites, grass and shrub mixture (GSM) sites, and grass and tree mixture (GTM) sites.</w:t>
      </w:r>
      <w:r>
        <w:rPr>
          <w:rFonts w:eastAsia="Arial"/>
          <w:sz w:val="24"/>
        </w:rPr>
        <w:t xml:space="preserve"> Normalized RMSE </w:t>
      </w:r>
      <w:r w:rsidR="00AA3564">
        <w:rPr>
          <w:rFonts w:eastAsia="Arial"/>
          <w:sz w:val="24"/>
        </w:rPr>
        <w:t xml:space="preserve">in (c) </w:t>
      </w:r>
      <w:r>
        <w:rPr>
          <w:rFonts w:eastAsia="Arial"/>
          <w:sz w:val="24"/>
        </w:rPr>
        <w:t xml:space="preserve">is denoted as cross mark (X), which is calculated as RMSE divided by mean GPP of the season. </w:t>
      </w:r>
    </w:p>
    <w:p w14:paraId="2804E60E" w14:textId="77777777" w:rsidR="00E77D36" w:rsidRPr="00C1362F" w:rsidRDefault="00E77D36" w:rsidP="00E77D36">
      <w:pPr>
        <w:spacing w:before="120"/>
        <w:jc w:val="both"/>
        <w:rPr>
          <w:rFonts w:eastAsia="Arial"/>
          <w:sz w:val="24"/>
        </w:rPr>
      </w:pPr>
    </w:p>
    <w:p w14:paraId="5EFA7888" w14:textId="77777777" w:rsidR="00E77D36" w:rsidRPr="00C1362F" w:rsidRDefault="00E77D36" w:rsidP="005B0B29">
      <w:pPr>
        <w:spacing w:before="120"/>
        <w:ind w:firstLine="720"/>
        <w:jc w:val="both"/>
        <w:rPr>
          <w:rFonts w:eastAsia="Arial"/>
          <w:sz w:val="24"/>
        </w:rPr>
      </w:pPr>
      <w:r w:rsidRPr="00C1362F">
        <w:rPr>
          <w:rFonts w:eastAsia="Arial"/>
          <w:sz w:val="24"/>
        </w:rPr>
        <w:lastRenderedPageBreak/>
        <w:t xml:space="preserve">The annual cumulative GPP estimates were more accurate for </w:t>
      </w:r>
      <w:r w:rsidRPr="00C1362F">
        <w:rPr>
          <w:rFonts w:eastAsia="SimSun"/>
          <w:bCs/>
          <w:sz w:val="24"/>
          <w:szCs w:val="24"/>
        </w:rPr>
        <w:t>grass-shrub mixture</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0.72, RMSE = 199 g C m</w:t>
      </w:r>
      <w:r w:rsidRPr="00C1362F">
        <w:rPr>
          <w:rFonts w:eastAsia="Arial"/>
          <w:sz w:val="24"/>
          <w:vertAlign w:val="superscript"/>
        </w:rPr>
        <w:t>-2</w:t>
      </w:r>
      <w:r w:rsidRPr="00C1362F">
        <w:rPr>
          <w:rFonts w:eastAsia="Arial"/>
          <w:sz w:val="24"/>
        </w:rPr>
        <w:t xml:space="preserve"> year</w:t>
      </w:r>
      <w:r w:rsidRPr="00C1362F">
        <w:rPr>
          <w:rFonts w:eastAsia="Arial"/>
          <w:sz w:val="24"/>
          <w:vertAlign w:val="superscript"/>
        </w:rPr>
        <w:t>-1</w:t>
      </w:r>
      <w:r w:rsidRPr="00C1362F">
        <w:rPr>
          <w:rFonts w:eastAsia="Arial"/>
          <w:sz w:val="24"/>
        </w:rPr>
        <w:t xml:space="preserve">) than for the </w:t>
      </w:r>
      <w:r w:rsidRPr="00C1362F">
        <w:rPr>
          <w:rFonts w:eastAsia="SimSun"/>
          <w:bCs/>
          <w:sz w:val="24"/>
          <w:szCs w:val="24"/>
        </w:rPr>
        <w:t>grass-tree mixture</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0.68, RMSE = 387 g C m</w:t>
      </w:r>
      <w:r w:rsidRPr="00C1362F">
        <w:rPr>
          <w:rFonts w:eastAsia="Arial"/>
          <w:sz w:val="24"/>
          <w:vertAlign w:val="superscript"/>
        </w:rPr>
        <w:t>-2</w:t>
      </w:r>
      <w:r w:rsidRPr="00C1362F">
        <w:rPr>
          <w:rFonts w:eastAsia="Arial"/>
          <w:sz w:val="24"/>
        </w:rPr>
        <w:t xml:space="preserve"> year</w:t>
      </w:r>
      <w:r w:rsidRPr="00C1362F">
        <w:rPr>
          <w:rFonts w:eastAsia="Arial"/>
          <w:sz w:val="24"/>
          <w:vertAlign w:val="superscript"/>
        </w:rPr>
        <w:t>-1</w:t>
      </w:r>
      <w:r w:rsidRPr="00C1362F">
        <w:rPr>
          <w:rFonts w:eastAsia="Arial"/>
          <w:sz w:val="24"/>
        </w:rPr>
        <w:t>) or perennial and/or annual grass (R</w:t>
      </w:r>
      <w:r w:rsidRPr="00C1362F">
        <w:rPr>
          <w:rFonts w:eastAsia="Arial"/>
          <w:sz w:val="24"/>
          <w:vertAlign w:val="superscript"/>
        </w:rPr>
        <w:t>2</w:t>
      </w:r>
      <w:r w:rsidRPr="00C1362F">
        <w:rPr>
          <w:rFonts w:eastAsia="Arial"/>
          <w:sz w:val="24"/>
        </w:rPr>
        <w:t xml:space="preserve"> = 0.61, RMSE = 329 g C m</w:t>
      </w:r>
      <w:r w:rsidRPr="00C1362F">
        <w:rPr>
          <w:rFonts w:eastAsia="Arial"/>
          <w:sz w:val="24"/>
          <w:vertAlign w:val="superscript"/>
        </w:rPr>
        <w:t>-2</w:t>
      </w:r>
      <w:r w:rsidRPr="00C1362F">
        <w:rPr>
          <w:rFonts w:eastAsia="Arial"/>
          <w:sz w:val="24"/>
        </w:rPr>
        <w:t xml:space="preserve"> year</w:t>
      </w:r>
      <w:r w:rsidRPr="00C1362F">
        <w:rPr>
          <w:rFonts w:eastAsia="Arial"/>
          <w:sz w:val="24"/>
          <w:vertAlign w:val="superscript"/>
        </w:rPr>
        <w:t>-1</w:t>
      </w:r>
      <w:r w:rsidRPr="00C1362F">
        <w:rPr>
          <w:rFonts w:eastAsia="Arial"/>
          <w:sz w:val="24"/>
        </w:rPr>
        <w:t>) sites (Table 2), which is consistent with model performance ranking for estimating daily GPP (Fig. 3). Despite the better model fit</w:t>
      </w:r>
      <w:r>
        <w:rPr>
          <w:rFonts w:eastAsia="Arial"/>
          <w:sz w:val="24"/>
        </w:rPr>
        <w:t xml:space="preserve"> (R</w:t>
      </w:r>
      <w:r w:rsidRPr="006F63F4">
        <w:rPr>
          <w:rFonts w:eastAsia="Arial"/>
          <w:sz w:val="24"/>
          <w:vertAlign w:val="superscript"/>
        </w:rPr>
        <w:t>2</w:t>
      </w:r>
      <w:r>
        <w:rPr>
          <w:rFonts w:eastAsia="Arial"/>
          <w:sz w:val="24"/>
        </w:rPr>
        <w:t>)</w:t>
      </w:r>
      <w:r w:rsidRPr="00C1362F">
        <w:rPr>
          <w:rFonts w:eastAsia="Arial"/>
          <w:sz w:val="24"/>
        </w:rPr>
        <w:t xml:space="preserve"> in estimating daily GPP during the growing season, cumulative GPP estimates from April to October showed slightly lower accuracy compared to annual estimates, indicating that model bias might be </w:t>
      </w:r>
      <w:r>
        <w:rPr>
          <w:rFonts w:eastAsia="Arial"/>
          <w:sz w:val="24"/>
        </w:rPr>
        <w:t>reduced</w:t>
      </w:r>
      <w:r w:rsidRPr="00C1362F">
        <w:rPr>
          <w:rFonts w:eastAsia="Arial"/>
          <w:sz w:val="24"/>
        </w:rPr>
        <w:t xml:space="preserve"> when integrating results from the growing </w:t>
      </w:r>
      <w:r>
        <w:rPr>
          <w:rFonts w:eastAsia="Arial"/>
          <w:sz w:val="24"/>
        </w:rPr>
        <w:t>and non-growing seasons</w:t>
      </w:r>
      <w:r w:rsidRPr="00C1362F">
        <w:rPr>
          <w:rFonts w:eastAsia="Arial"/>
          <w:sz w:val="24"/>
        </w:rPr>
        <w:t>. The model bias (MBE = 138 g C m</w:t>
      </w:r>
      <w:r w:rsidRPr="00C1362F">
        <w:rPr>
          <w:rFonts w:eastAsia="Arial"/>
          <w:sz w:val="24"/>
          <w:vertAlign w:val="superscript"/>
        </w:rPr>
        <w:t>-2</w:t>
      </w:r>
      <w:r w:rsidRPr="00C1362F">
        <w:rPr>
          <w:rFonts w:eastAsia="Arial"/>
          <w:sz w:val="24"/>
        </w:rPr>
        <w:t xml:space="preserve"> year</w:t>
      </w:r>
      <w:r w:rsidRPr="00C1362F">
        <w:rPr>
          <w:rFonts w:eastAsia="Arial"/>
          <w:sz w:val="24"/>
          <w:vertAlign w:val="superscript"/>
        </w:rPr>
        <w:t>-1</w:t>
      </w:r>
      <w:r w:rsidRPr="00C1362F">
        <w:rPr>
          <w:rFonts w:eastAsia="Arial"/>
          <w:sz w:val="24"/>
        </w:rPr>
        <w:t xml:space="preserve">) was </w:t>
      </w:r>
      <w:r>
        <w:rPr>
          <w:rFonts w:eastAsia="Arial"/>
          <w:sz w:val="24"/>
        </w:rPr>
        <w:t>larger</w:t>
      </w:r>
      <w:r w:rsidRPr="00C1362F">
        <w:rPr>
          <w:rFonts w:eastAsia="Arial"/>
          <w:sz w:val="24"/>
        </w:rPr>
        <w:t xml:space="preserve"> for the estimates of</w:t>
      </w:r>
      <w:r w:rsidRPr="00C1362F">
        <w:rPr>
          <w:rFonts w:eastAsia="SimSun"/>
          <w:bCs/>
          <w:sz w:val="24"/>
          <w:szCs w:val="24"/>
        </w:rPr>
        <w:t xml:space="preserve"> </w:t>
      </w:r>
      <w:r>
        <w:rPr>
          <w:rFonts w:eastAsia="SimSun"/>
          <w:bCs/>
          <w:sz w:val="24"/>
          <w:szCs w:val="24"/>
        </w:rPr>
        <w:t xml:space="preserve">annual GPP for </w:t>
      </w:r>
      <w:r w:rsidRPr="00C1362F">
        <w:rPr>
          <w:rFonts w:eastAsia="SimSun"/>
          <w:bCs/>
          <w:sz w:val="24"/>
          <w:szCs w:val="24"/>
        </w:rPr>
        <w:t>grass-tree mixture</w:t>
      </w:r>
      <w:r w:rsidRPr="00C1362F">
        <w:rPr>
          <w:rFonts w:eastAsia="Arial"/>
          <w:sz w:val="24"/>
        </w:rPr>
        <w:t xml:space="preserve"> sites</w:t>
      </w:r>
      <w:r>
        <w:rPr>
          <w:rFonts w:eastAsia="Arial"/>
          <w:sz w:val="24"/>
        </w:rPr>
        <w:t>, showing a significant underestimation</w:t>
      </w:r>
      <w:r w:rsidRPr="00C1362F">
        <w:rPr>
          <w:rFonts w:eastAsia="Arial"/>
          <w:sz w:val="24"/>
        </w:rPr>
        <w:t xml:space="preserve"> (Table 2). The model </w:t>
      </w:r>
      <w:r>
        <w:rPr>
          <w:rFonts w:eastAsia="Arial"/>
          <w:sz w:val="24"/>
        </w:rPr>
        <w:t>performance</w:t>
      </w:r>
      <w:r w:rsidRPr="00C1362F">
        <w:rPr>
          <w:rFonts w:eastAsia="Arial"/>
          <w:sz w:val="24"/>
        </w:rPr>
        <w:t xml:space="preserve"> for estimating monthly cumulative GPP was similar among different </w:t>
      </w:r>
      <w:r>
        <w:rPr>
          <w:rFonts w:eastAsia="Arial"/>
          <w:sz w:val="24"/>
        </w:rPr>
        <w:t>vegetation types,</w:t>
      </w:r>
      <w:r w:rsidRPr="00C1362F">
        <w:rPr>
          <w:rFonts w:eastAsia="Arial"/>
          <w:sz w:val="24"/>
        </w:rPr>
        <w:t xml:space="preserve"> with R</w:t>
      </w:r>
      <w:r w:rsidRPr="00C1362F">
        <w:rPr>
          <w:rFonts w:eastAsia="Arial"/>
          <w:sz w:val="24"/>
          <w:vertAlign w:val="superscript"/>
        </w:rPr>
        <w:t>2</w:t>
      </w:r>
      <w:r w:rsidRPr="00C1362F">
        <w:rPr>
          <w:rFonts w:eastAsia="Arial"/>
          <w:sz w:val="24"/>
        </w:rPr>
        <w:t xml:space="preserve"> over 0.7. Again, model bias which indicates underestimation of GPP was higher for the </w:t>
      </w:r>
      <w:r w:rsidRPr="00C1362F">
        <w:rPr>
          <w:rFonts w:eastAsia="SimSun"/>
          <w:bCs/>
          <w:sz w:val="24"/>
          <w:szCs w:val="24"/>
        </w:rPr>
        <w:t>grass-tree mixture</w:t>
      </w:r>
      <w:r w:rsidRPr="00C1362F">
        <w:rPr>
          <w:rFonts w:eastAsia="Arial"/>
          <w:sz w:val="24"/>
        </w:rPr>
        <w:t xml:space="preserve"> sites. </w:t>
      </w:r>
    </w:p>
    <w:p w14:paraId="49EEE441" w14:textId="77777777" w:rsidR="00E77D36" w:rsidRPr="00C1362F" w:rsidRDefault="00E77D36" w:rsidP="005B0B29">
      <w:pPr>
        <w:spacing w:before="240"/>
        <w:jc w:val="both"/>
      </w:pPr>
      <w:bookmarkStart w:id="12" w:name="_Hlk152853150"/>
      <w:bookmarkStart w:id="13" w:name="_Hlk152155338"/>
      <w:r w:rsidRPr="00C1362F">
        <w:rPr>
          <w:rFonts w:eastAsia="Arial"/>
          <w:b/>
          <w:bCs/>
          <w:sz w:val="24"/>
        </w:rPr>
        <w:t>Table 2.</w:t>
      </w:r>
      <w:r w:rsidRPr="00C1362F">
        <w:rPr>
          <w:rFonts w:eastAsia="Arial"/>
          <w:sz w:val="24"/>
        </w:rPr>
        <w:t xml:space="preserve"> Model</w:t>
      </w:r>
      <w:r w:rsidRPr="00C1362F">
        <w:rPr>
          <w:rFonts w:eastAsia="Arial"/>
          <w:b/>
          <w:bCs/>
          <w:sz w:val="24"/>
        </w:rPr>
        <w:t xml:space="preserve"> </w:t>
      </w:r>
      <w:r w:rsidRPr="00C1362F">
        <w:rPr>
          <w:rFonts w:eastAsia="Arial"/>
          <w:sz w:val="24"/>
        </w:rPr>
        <w:t xml:space="preserve">performance for estimating annual, seasonal, and monthly cumulative gross primary productivity (GPP) and net ecosystem exchange </w:t>
      </w:r>
      <w:r>
        <w:rPr>
          <w:rFonts w:eastAsia="Arial"/>
          <w:sz w:val="24"/>
        </w:rPr>
        <w:t>of CO</w:t>
      </w:r>
      <w:r w:rsidRPr="00C12A82">
        <w:rPr>
          <w:rFonts w:eastAsia="Arial"/>
          <w:sz w:val="24"/>
          <w:vertAlign w:val="subscript"/>
        </w:rPr>
        <w:t>2</w:t>
      </w:r>
      <w:r>
        <w:rPr>
          <w:rFonts w:eastAsia="Arial"/>
          <w:sz w:val="24"/>
          <w:vertAlign w:val="subscript"/>
        </w:rPr>
        <w:t xml:space="preserve"> </w:t>
      </w:r>
      <w:r w:rsidRPr="00C1362F">
        <w:rPr>
          <w:rFonts w:eastAsia="Arial"/>
          <w:sz w:val="24"/>
        </w:rPr>
        <w:t>(NEE) shown as coefficient of determination (R</w:t>
      </w:r>
      <w:r w:rsidRPr="00C1362F">
        <w:rPr>
          <w:rFonts w:eastAsia="Arial"/>
          <w:sz w:val="24"/>
          <w:vertAlign w:val="superscript"/>
        </w:rPr>
        <w:t>2</w:t>
      </w:r>
      <w:r w:rsidRPr="00C1362F">
        <w:rPr>
          <w:rFonts w:eastAsia="Arial"/>
          <w:sz w:val="24"/>
        </w:rPr>
        <w:t xml:space="preserve">), root mean square error (RMSE), and mean bias error (MBE) averaged from sites within different </w:t>
      </w:r>
      <w:r>
        <w:rPr>
          <w:rFonts w:eastAsia="Arial"/>
          <w:sz w:val="24"/>
        </w:rPr>
        <w:t>vegetation types</w:t>
      </w:r>
      <w:r w:rsidRPr="00C1362F">
        <w:rPr>
          <w:rFonts w:eastAsia="Arial"/>
          <w:sz w:val="24"/>
        </w:rPr>
        <w:t>. The growing season is set from April to October</w:t>
      </w:r>
      <w:r>
        <w:rPr>
          <w:rFonts w:eastAsia="Arial"/>
          <w:sz w:val="24"/>
        </w:rPr>
        <w:t xml:space="preserve"> for comparison</w:t>
      </w:r>
      <w:r w:rsidRPr="00C1362F">
        <w:rPr>
          <w:rFonts w:eastAsia="Arial"/>
          <w:sz w:val="24"/>
        </w:rPr>
        <w:t>.</w:t>
      </w:r>
      <w:bookmarkEnd w:id="12"/>
      <w:r>
        <w:rPr>
          <w:rFonts w:eastAsia="Arial"/>
          <w:sz w:val="24"/>
        </w:rPr>
        <w:t xml:space="preserve"> Mean values are also calculated for different categories.</w:t>
      </w:r>
    </w:p>
    <w:tbl>
      <w:tblPr>
        <w:tblStyle w:val="TableGrid"/>
        <w:tblW w:w="5000" w:type="pct"/>
        <w:tblBorders>
          <w:top w:val="single" w:sz="12" w:space="0" w:color="auto"/>
          <w:left w:val="none" w:sz="0" w:space="0" w:color="auto"/>
          <w:bottom w:val="single" w:sz="12"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680"/>
        <w:gridCol w:w="769"/>
        <w:gridCol w:w="771"/>
        <w:gridCol w:w="769"/>
        <w:gridCol w:w="771"/>
        <w:gridCol w:w="32"/>
        <w:gridCol w:w="329"/>
        <w:gridCol w:w="41"/>
        <w:gridCol w:w="769"/>
        <w:gridCol w:w="811"/>
        <w:gridCol w:w="811"/>
        <w:gridCol w:w="807"/>
      </w:tblGrid>
      <w:tr w:rsidR="00E77D36" w:rsidRPr="00C1362F" w14:paraId="79171E16" w14:textId="77777777" w:rsidTr="000D368A">
        <w:tc>
          <w:tcPr>
            <w:tcW w:w="1431" w:type="pct"/>
            <w:vMerge w:val="restart"/>
            <w:vAlign w:val="center"/>
          </w:tcPr>
          <w:p w14:paraId="6CB76C33" w14:textId="4A5DCDA5" w:rsidR="00E77D36" w:rsidRPr="00C1362F" w:rsidRDefault="00E77D36" w:rsidP="005B0B29">
            <w:r>
              <w:t xml:space="preserve">Vegetation </w:t>
            </w:r>
            <w:r w:rsidR="000062C4">
              <w:t>class</w:t>
            </w:r>
          </w:p>
        </w:tc>
        <w:tc>
          <w:tcPr>
            <w:tcW w:w="1663" w:type="pct"/>
            <w:gridSpan w:val="5"/>
          </w:tcPr>
          <w:p w14:paraId="53BED185" w14:textId="77777777" w:rsidR="00E77D36" w:rsidRPr="00C1362F" w:rsidRDefault="00E77D36" w:rsidP="005B0B29">
            <w:pPr>
              <w:jc w:val="center"/>
            </w:pPr>
            <w:r w:rsidRPr="00C1362F">
              <w:t>GPP</w:t>
            </w:r>
          </w:p>
        </w:tc>
        <w:tc>
          <w:tcPr>
            <w:tcW w:w="198" w:type="pct"/>
            <w:gridSpan w:val="2"/>
          </w:tcPr>
          <w:p w14:paraId="5A78B1DB" w14:textId="77777777" w:rsidR="00E77D36" w:rsidRPr="00C1362F" w:rsidRDefault="00E77D36" w:rsidP="005B0B29">
            <w:pPr>
              <w:jc w:val="center"/>
            </w:pPr>
          </w:p>
        </w:tc>
        <w:tc>
          <w:tcPr>
            <w:tcW w:w="1708" w:type="pct"/>
            <w:gridSpan w:val="4"/>
          </w:tcPr>
          <w:p w14:paraId="634C16E4" w14:textId="77777777" w:rsidR="00E77D36" w:rsidRPr="00C1362F" w:rsidRDefault="00E77D36" w:rsidP="005B0B29">
            <w:pPr>
              <w:jc w:val="center"/>
            </w:pPr>
            <w:r w:rsidRPr="00C1362F">
              <w:t>NEE</w:t>
            </w:r>
          </w:p>
        </w:tc>
      </w:tr>
      <w:tr w:rsidR="00E77D36" w:rsidRPr="00C1362F" w14:paraId="74CB4305" w14:textId="77777777" w:rsidTr="000D368A">
        <w:tc>
          <w:tcPr>
            <w:tcW w:w="1431" w:type="pct"/>
            <w:vMerge/>
            <w:tcBorders>
              <w:bottom w:val="single" w:sz="4" w:space="0" w:color="auto"/>
            </w:tcBorders>
            <w:vAlign w:val="center"/>
          </w:tcPr>
          <w:p w14:paraId="06EA3C77" w14:textId="77777777" w:rsidR="00E77D36" w:rsidRPr="00C1362F" w:rsidRDefault="00E77D36" w:rsidP="005B0B29"/>
        </w:tc>
        <w:tc>
          <w:tcPr>
            <w:tcW w:w="411" w:type="pct"/>
            <w:tcBorders>
              <w:top w:val="single" w:sz="12" w:space="0" w:color="auto"/>
              <w:bottom w:val="single" w:sz="4" w:space="0" w:color="auto"/>
            </w:tcBorders>
            <w:vAlign w:val="center"/>
          </w:tcPr>
          <w:p w14:paraId="631E481E" w14:textId="77777777" w:rsidR="00E77D36" w:rsidRPr="00C1362F" w:rsidRDefault="00E77D36" w:rsidP="005B0B29">
            <w:pPr>
              <w:jc w:val="center"/>
            </w:pPr>
            <w:r>
              <w:t>Mean</w:t>
            </w:r>
          </w:p>
        </w:tc>
        <w:tc>
          <w:tcPr>
            <w:tcW w:w="412" w:type="pct"/>
            <w:tcBorders>
              <w:top w:val="single" w:sz="12" w:space="0" w:color="auto"/>
              <w:bottom w:val="single" w:sz="4" w:space="0" w:color="auto"/>
            </w:tcBorders>
            <w:vAlign w:val="center"/>
          </w:tcPr>
          <w:p w14:paraId="1BC18B28" w14:textId="77777777" w:rsidR="00E77D36" w:rsidRPr="00C1362F" w:rsidRDefault="00E77D36" w:rsidP="005B0B29">
            <w:pPr>
              <w:jc w:val="center"/>
            </w:pPr>
            <w:r w:rsidRPr="00C1362F">
              <w:t>R</w:t>
            </w:r>
            <w:r w:rsidRPr="00C1362F">
              <w:rPr>
                <w:vertAlign w:val="superscript"/>
              </w:rPr>
              <w:t>2</w:t>
            </w:r>
          </w:p>
        </w:tc>
        <w:tc>
          <w:tcPr>
            <w:tcW w:w="411" w:type="pct"/>
            <w:tcBorders>
              <w:top w:val="single" w:sz="12" w:space="0" w:color="auto"/>
              <w:bottom w:val="single" w:sz="4" w:space="0" w:color="auto"/>
            </w:tcBorders>
            <w:vAlign w:val="center"/>
          </w:tcPr>
          <w:p w14:paraId="6B04325A" w14:textId="77777777" w:rsidR="00E77D36" w:rsidRPr="00C1362F" w:rsidRDefault="00E77D36" w:rsidP="005B0B29">
            <w:pPr>
              <w:jc w:val="center"/>
            </w:pPr>
            <w:r w:rsidRPr="00C1362F">
              <w:t>RMSE</w:t>
            </w:r>
          </w:p>
        </w:tc>
        <w:tc>
          <w:tcPr>
            <w:tcW w:w="412" w:type="pct"/>
            <w:tcBorders>
              <w:top w:val="single" w:sz="12" w:space="0" w:color="auto"/>
              <w:bottom w:val="single" w:sz="4" w:space="0" w:color="auto"/>
            </w:tcBorders>
            <w:vAlign w:val="center"/>
          </w:tcPr>
          <w:p w14:paraId="1B0CA913" w14:textId="77777777" w:rsidR="00E77D36" w:rsidRPr="00C1362F" w:rsidRDefault="00E77D36" w:rsidP="005B0B29">
            <w:pPr>
              <w:jc w:val="center"/>
            </w:pPr>
            <w:r w:rsidRPr="00C1362F">
              <w:t>MBE</w:t>
            </w:r>
          </w:p>
        </w:tc>
        <w:tc>
          <w:tcPr>
            <w:tcW w:w="193" w:type="pct"/>
            <w:gridSpan w:val="2"/>
            <w:tcBorders>
              <w:top w:val="nil"/>
              <w:bottom w:val="nil"/>
            </w:tcBorders>
          </w:tcPr>
          <w:p w14:paraId="4FBEF37A" w14:textId="77777777" w:rsidR="00E77D36" w:rsidRDefault="00E77D36" w:rsidP="005B0B29">
            <w:pPr>
              <w:jc w:val="center"/>
            </w:pPr>
          </w:p>
        </w:tc>
        <w:tc>
          <w:tcPr>
            <w:tcW w:w="433" w:type="pct"/>
            <w:gridSpan w:val="2"/>
            <w:tcBorders>
              <w:top w:val="single" w:sz="12" w:space="0" w:color="auto"/>
              <w:bottom w:val="single" w:sz="4" w:space="0" w:color="auto"/>
            </w:tcBorders>
            <w:vAlign w:val="center"/>
          </w:tcPr>
          <w:p w14:paraId="6B8F6449" w14:textId="77777777" w:rsidR="00E77D36" w:rsidRPr="00C1362F" w:rsidRDefault="00E77D36" w:rsidP="005B0B29">
            <w:pPr>
              <w:jc w:val="center"/>
            </w:pPr>
            <w:r>
              <w:t>Mean</w:t>
            </w:r>
          </w:p>
        </w:tc>
        <w:tc>
          <w:tcPr>
            <w:tcW w:w="433" w:type="pct"/>
            <w:tcBorders>
              <w:top w:val="single" w:sz="12" w:space="0" w:color="auto"/>
              <w:bottom w:val="single" w:sz="4" w:space="0" w:color="auto"/>
            </w:tcBorders>
            <w:vAlign w:val="center"/>
          </w:tcPr>
          <w:p w14:paraId="770743F8" w14:textId="77777777" w:rsidR="00E77D36" w:rsidRPr="00C1362F" w:rsidRDefault="00E77D36" w:rsidP="005B0B29">
            <w:pPr>
              <w:jc w:val="center"/>
            </w:pPr>
            <w:r w:rsidRPr="00C1362F">
              <w:t>R</w:t>
            </w:r>
            <w:r w:rsidRPr="00C1362F">
              <w:rPr>
                <w:vertAlign w:val="superscript"/>
              </w:rPr>
              <w:t>2</w:t>
            </w:r>
          </w:p>
        </w:tc>
        <w:tc>
          <w:tcPr>
            <w:tcW w:w="433" w:type="pct"/>
            <w:tcBorders>
              <w:top w:val="single" w:sz="12" w:space="0" w:color="auto"/>
              <w:bottom w:val="single" w:sz="4" w:space="0" w:color="auto"/>
            </w:tcBorders>
            <w:vAlign w:val="center"/>
          </w:tcPr>
          <w:p w14:paraId="6CC7803F" w14:textId="77777777" w:rsidR="00E77D36" w:rsidRPr="00C1362F" w:rsidRDefault="00E77D36" w:rsidP="005B0B29">
            <w:pPr>
              <w:jc w:val="center"/>
            </w:pPr>
            <w:r w:rsidRPr="00C1362F">
              <w:t>RMSE</w:t>
            </w:r>
          </w:p>
        </w:tc>
        <w:tc>
          <w:tcPr>
            <w:tcW w:w="431" w:type="pct"/>
            <w:tcBorders>
              <w:top w:val="single" w:sz="12" w:space="0" w:color="auto"/>
              <w:bottom w:val="single" w:sz="4" w:space="0" w:color="auto"/>
            </w:tcBorders>
            <w:vAlign w:val="center"/>
          </w:tcPr>
          <w:p w14:paraId="3C8FD42B" w14:textId="77777777" w:rsidR="00E77D36" w:rsidRPr="00C1362F" w:rsidRDefault="00E77D36" w:rsidP="005B0B29">
            <w:pPr>
              <w:jc w:val="center"/>
            </w:pPr>
            <w:r w:rsidRPr="00C1362F">
              <w:t>MBE</w:t>
            </w:r>
          </w:p>
        </w:tc>
      </w:tr>
      <w:tr w:rsidR="00E77D36" w:rsidRPr="00C1362F" w14:paraId="388164AC" w14:textId="77777777" w:rsidTr="000D368A">
        <w:tc>
          <w:tcPr>
            <w:tcW w:w="5000" w:type="pct"/>
            <w:gridSpan w:val="12"/>
            <w:tcBorders>
              <w:top w:val="single" w:sz="4" w:space="0" w:color="auto"/>
              <w:bottom w:val="nil"/>
            </w:tcBorders>
          </w:tcPr>
          <w:p w14:paraId="34D70902" w14:textId="77777777" w:rsidR="00E77D36" w:rsidRPr="00C1362F" w:rsidRDefault="00E77D36" w:rsidP="005B0B29">
            <w:pPr>
              <w:rPr>
                <w:i/>
                <w:iCs/>
              </w:rPr>
            </w:pPr>
            <w:r w:rsidRPr="00C1362F">
              <w:rPr>
                <w:i/>
                <w:iCs/>
              </w:rPr>
              <w:t>Annual cumulative fluxes (g C m</w:t>
            </w:r>
            <w:r w:rsidRPr="00C1362F">
              <w:rPr>
                <w:i/>
                <w:iCs/>
                <w:vertAlign w:val="superscript"/>
              </w:rPr>
              <w:t>-2</w:t>
            </w:r>
            <w:r w:rsidRPr="00C1362F">
              <w:rPr>
                <w:i/>
                <w:iCs/>
              </w:rPr>
              <w:t xml:space="preserve"> year</w:t>
            </w:r>
            <w:r w:rsidRPr="00C1362F">
              <w:rPr>
                <w:i/>
                <w:iCs/>
                <w:vertAlign w:val="superscript"/>
              </w:rPr>
              <w:t>-1</w:t>
            </w:r>
            <w:r w:rsidRPr="00C1362F">
              <w:rPr>
                <w:i/>
                <w:iCs/>
              </w:rPr>
              <w:t>)</w:t>
            </w:r>
          </w:p>
        </w:tc>
      </w:tr>
      <w:tr w:rsidR="00E77D36" w:rsidRPr="00C1362F" w14:paraId="4DEA4302" w14:textId="77777777" w:rsidTr="000D368A">
        <w:tc>
          <w:tcPr>
            <w:tcW w:w="1431" w:type="pct"/>
            <w:tcBorders>
              <w:top w:val="nil"/>
            </w:tcBorders>
            <w:vAlign w:val="center"/>
          </w:tcPr>
          <w:p w14:paraId="56FFF73F" w14:textId="77777777" w:rsidR="00E77D36" w:rsidRPr="00C1362F" w:rsidRDefault="00E77D36" w:rsidP="005B0B29">
            <w:r w:rsidRPr="00C1362F">
              <w:t xml:space="preserve">  Perennial and/or annual grass</w:t>
            </w:r>
          </w:p>
        </w:tc>
        <w:tc>
          <w:tcPr>
            <w:tcW w:w="411" w:type="pct"/>
            <w:tcBorders>
              <w:top w:val="nil"/>
            </w:tcBorders>
            <w:vAlign w:val="center"/>
          </w:tcPr>
          <w:p w14:paraId="34BD00C8" w14:textId="77777777" w:rsidR="00E77D36" w:rsidRPr="00C1362F" w:rsidRDefault="00E77D36" w:rsidP="005B0B29">
            <w:pPr>
              <w:jc w:val="center"/>
            </w:pPr>
            <w:r>
              <w:t>1096</w:t>
            </w:r>
          </w:p>
        </w:tc>
        <w:tc>
          <w:tcPr>
            <w:tcW w:w="412" w:type="pct"/>
            <w:tcBorders>
              <w:top w:val="nil"/>
            </w:tcBorders>
            <w:vAlign w:val="center"/>
          </w:tcPr>
          <w:p w14:paraId="51D3CAC7" w14:textId="77777777" w:rsidR="00E77D36" w:rsidRPr="00C1362F" w:rsidRDefault="00E77D36" w:rsidP="005B0B29">
            <w:pPr>
              <w:jc w:val="center"/>
            </w:pPr>
            <w:r w:rsidRPr="00C1362F">
              <w:t>0.61</w:t>
            </w:r>
          </w:p>
        </w:tc>
        <w:tc>
          <w:tcPr>
            <w:tcW w:w="411" w:type="pct"/>
            <w:tcBorders>
              <w:top w:val="nil"/>
            </w:tcBorders>
            <w:vAlign w:val="center"/>
          </w:tcPr>
          <w:p w14:paraId="45171121" w14:textId="77777777" w:rsidR="00E77D36" w:rsidRPr="00C1362F" w:rsidRDefault="00E77D36" w:rsidP="005B0B29">
            <w:pPr>
              <w:jc w:val="center"/>
            </w:pPr>
            <w:r w:rsidRPr="00C1362F">
              <w:t>329.1</w:t>
            </w:r>
          </w:p>
        </w:tc>
        <w:tc>
          <w:tcPr>
            <w:tcW w:w="412" w:type="pct"/>
            <w:tcBorders>
              <w:top w:val="nil"/>
            </w:tcBorders>
            <w:vAlign w:val="center"/>
          </w:tcPr>
          <w:p w14:paraId="20F8FADA" w14:textId="77777777" w:rsidR="00E77D36" w:rsidRPr="00C1362F" w:rsidRDefault="00E77D36" w:rsidP="005B0B29">
            <w:pPr>
              <w:jc w:val="center"/>
            </w:pPr>
            <w:r w:rsidRPr="00C1362F">
              <w:t>15.9</w:t>
            </w:r>
          </w:p>
        </w:tc>
        <w:tc>
          <w:tcPr>
            <w:tcW w:w="193" w:type="pct"/>
            <w:gridSpan w:val="2"/>
            <w:tcBorders>
              <w:top w:val="nil"/>
              <w:bottom w:val="nil"/>
            </w:tcBorders>
          </w:tcPr>
          <w:p w14:paraId="0ABC4B33" w14:textId="77777777" w:rsidR="00E77D36" w:rsidRPr="00C1362F" w:rsidRDefault="00E77D36" w:rsidP="005B0B29">
            <w:pPr>
              <w:jc w:val="center"/>
            </w:pPr>
          </w:p>
        </w:tc>
        <w:tc>
          <w:tcPr>
            <w:tcW w:w="433" w:type="pct"/>
            <w:gridSpan w:val="2"/>
            <w:tcBorders>
              <w:top w:val="nil"/>
            </w:tcBorders>
            <w:vAlign w:val="center"/>
          </w:tcPr>
          <w:p w14:paraId="749D9A5F" w14:textId="77777777" w:rsidR="00E77D36" w:rsidRPr="00C1362F" w:rsidRDefault="00E77D36" w:rsidP="005B0B29">
            <w:pPr>
              <w:jc w:val="center"/>
            </w:pPr>
            <w:r>
              <w:t>105</w:t>
            </w:r>
          </w:p>
        </w:tc>
        <w:tc>
          <w:tcPr>
            <w:tcW w:w="433" w:type="pct"/>
            <w:tcBorders>
              <w:top w:val="nil"/>
            </w:tcBorders>
            <w:vAlign w:val="center"/>
          </w:tcPr>
          <w:p w14:paraId="5D382D37" w14:textId="77777777" w:rsidR="00E77D36" w:rsidRPr="00C1362F" w:rsidRDefault="00E77D36" w:rsidP="005B0B29">
            <w:pPr>
              <w:jc w:val="center"/>
            </w:pPr>
            <w:r w:rsidRPr="00C1362F">
              <w:t>0.40</w:t>
            </w:r>
          </w:p>
        </w:tc>
        <w:tc>
          <w:tcPr>
            <w:tcW w:w="433" w:type="pct"/>
            <w:tcBorders>
              <w:top w:val="nil"/>
            </w:tcBorders>
            <w:vAlign w:val="center"/>
          </w:tcPr>
          <w:p w14:paraId="4F2B76D0" w14:textId="77777777" w:rsidR="00E77D36" w:rsidRPr="00C1362F" w:rsidRDefault="00E77D36" w:rsidP="005B0B29">
            <w:pPr>
              <w:jc w:val="center"/>
            </w:pPr>
            <w:r w:rsidRPr="00C1362F">
              <w:t>180.0</w:t>
            </w:r>
          </w:p>
        </w:tc>
        <w:tc>
          <w:tcPr>
            <w:tcW w:w="431" w:type="pct"/>
            <w:tcBorders>
              <w:top w:val="nil"/>
            </w:tcBorders>
            <w:vAlign w:val="center"/>
          </w:tcPr>
          <w:p w14:paraId="5179EF9D" w14:textId="77777777" w:rsidR="00E77D36" w:rsidRPr="00C1362F" w:rsidRDefault="00E77D36" w:rsidP="005B0B29">
            <w:pPr>
              <w:jc w:val="center"/>
            </w:pPr>
            <w:r w:rsidRPr="00C1362F">
              <w:t>103.7</w:t>
            </w:r>
          </w:p>
        </w:tc>
      </w:tr>
      <w:tr w:rsidR="00E77D36" w:rsidRPr="00C1362F" w14:paraId="33670C3C" w14:textId="77777777" w:rsidTr="000D368A">
        <w:tc>
          <w:tcPr>
            <w:tcW w:w="1431" w:type="pct"/>
            <w:vAlign w:val="center"/>
          </w:tcPr>
          <w:p w14:paraId="2F198FED" w14:textId="77777777" w:rsidR="00E77D36" w:rsidRPr="00C1362F" w:rsidRDefault="00E77D36" w:rsidP="005B0B29">
            <w:r w:rsidRPr="00C1362F">
              <w:t xml:space="preserve">  Grass-shrub mixture</w:t>
            </w:r>
          </w:p>
        </w:tc>
        <w:tc>
          <w:tcPr>
            <w:tcW w:w="411" w:type="pct"/>
            <w:vAlign w:val="center"/>
          </w:tcPr>
          <w:p w14:paraId="02B335AB" w14:textId="77777777" w:rsidR="00E77D36" w:rsidRPr="00C1362F" w:rsidRDefault="00E77D36" w:rsidP="005B0B29">
            <w:pPr>
              <w:jc w:val="center"/>
            </w:pPr>
            <w:r>
              <w:t>498</w:t>
            </w:r>
          </w:p>
        </w:tc>
        <w:tc>
          <w:tcPr>
            <w:tcW w:w="412" w:type="pct"/>
            <w:vAlign w:val="center"/>
          </w:tcPr>
          <w:p w14:paraId="301E87EF" w14:textId="77777777" w:rsidR="00E77D36" w:rsidRPr="00C1362F" w:rsidRDefault="00E77D36" w:rsidP="005B0B29">
            <w:pPr>
              <w:jc w:val="center"/>
            </w:pPr>
            <w:r w:rsidRPr="00C1362F">
              <w:t>0.72</w:t>
            </w:r>
          </w:p>
        </w:tc>
        <w:tc>
          <w:tcPr>
            <w:tcW w:w="411" w:type="pct"/>
            <w:vAlign w:val="center"/>
          </w:tcPr>
          <w:p w14:paraId="1E51B91D" w14:textId="77777777" w:rsidR="00E77D36" w:rsidRPr="00C1362F" w:rsidRDefault="00E77D36" w:rsidP="005B0B29">
            <w:pPr>
              <w:jc w:val="center"/>
            </w:pPr>
            <w:r w:rsidRPr="00C1362F">
              <w:t>199.1</w:t>
            </w:r>
          </w:p>
        </w:tc>
        <w:tc>
          <w:tcPr>
            <w:tcW w:w="412" w:type="pct"/>
            <w:vAlign w:val="center"/>
          </w:tcPr>
          <w:p w14:paraId="40375D7C" w14:textId="77777777" w:rsidR="00E77D36" w:rsidRPr="00C1362F" w:rsidRDefault="00E77D36" w:rsidP="005B0B29">
            <w:pPr>
              <w:jc w:val="center"/>
            </w:pPr>
            <w:r w:rsidRPr="00C1362F">
              <w:t>21.9</w:t>
            </w:r>
          </w:p>
        </w:tc>
        <w:tc>
          <w:tcPr>
            <w:tcW w:w="193" w:type="pct"/>
            <w:gridSpan w:val="2"/>
            <w:tcBorders>
              <w:top w:val="nil"/>
              <w:bottom w:val="nil"/>
            </w:tcBorders>
          </w:tcPr>
          <w:p w14:paraId="270A309F" w14:textId="77777777" w:rsidR="00E77D36" w:rsidRPr="00C1362F" w:rsidRDefault="00E77D36" w:rsidP="005B0B29">
            <w:pPr>
              <w:jc w:val="center"/>
            </w:pPr>
          </w:p>
        </w:tc>
        <w:tc>
          <w:tcPr>
            <w:tcW w:w="433" w:type="pct"/>
            <w:gridSpan w:val="2"/>
            <w:vAlign w:val="center"/>
          </w:tcPr>
          <w:p w14:paraId="4CF7FDAE" w14:textId="77777777" w:rsidR="00E77D36" w:rsidRPr="00C1362F" w:rsidRDefault="00E77D36" w:rsidP="005B0B29">
            <w:pPr>
              <w:jc w:val="center"/>
            </w:pPr>
            <w:r>
              <w:t>70</w:t>
            </w:r>
          </w:p>
        </w:tc>
        <w:tc>
          <w:tcPr>
            <w:tcW w:w="433" w:type="pct"/>
            <w:vAlign w:val="center"/>
          </w:tcPr>
          <w:p w14:paraId="60CBE5B5" w14:textId="77777777" w:rsidR="00E77D36" w:rsidRPr="00C1362F" w:rsidRDefault="00E77D36" w:rsidP="005B0B29">
            <w:pPr>
              <w:jc w:val="center"/>
            </w:pPr>
            <w:r w:rsidRPr="00C1362F">
              <w:t>0.65</w:t>
            </w:r>
          </w:p>
        </w:tc>
        <w:tc>
          <w:tcPr>
            <w:tcW w:w="433" w:type="pct"/>
            <w:vAlign w:val="center"/>
          </w:tcPr>
          <w:p w14:paraId="0938475E" w14:textId="77777777" w:rsidR="00E77D36" w:rsidRPr="00C1362F" w:rsidRDefault="00E77D36" w:rsidP="005B0B29">
            <w:pPr>
              <w:jc w:val="center"/>
            </w:pPr>
            <w:r w:rsidRPr="00C1362F">
              <w:t>103.1</w:t>
            </w:r>
          </w:p>
        </w:tc>
        <w:tc>
          <w:tcPr>
            <w:tcW w:w="431" w:type="pct"/>
            <w:vAlign w:val="center"/>
          </w:tcPr>
          <w:p w14:paraId="4F16A93B" w14:textId="77777777" w:rsidR="00E77D36" w:rsidRPr="00C1362F" w:rsidRDefault="00E77D36" w:rsidP="005B0B29">
            <w:pPr>
              <w:jc w:val="center"/>
            </w:pPr>
            <w:r w:rsidRPr="00C1362F">
              <w:t>81.5</w:t>
            </w:r>
          </w:p>
        </w:tc>
      </w:tr>
      <w:tr w:rsidR="00E77D36" w:rsidRPr="00C1362F" w14:paraId="559C36D8" w14:textId="77777777" w:rsidTr="000D368A">
        <w:tc>
          <w:tcPr>
            <w:tcW w:w="1431" w:type="pct"/>
            <w:vAlign w:val="center"/>
          </w:tcPr>
          <w:p w14:paraId="134D1E6F" w14:textId="77777777" w:rsidR="00E77D36" w:rsidRPr="00C1362F" w:rsidRDefault="00E77D36" w:rsidP="005B0B29">
            <w:r w:rsidRPr="00C1362F">
              <w:t xml:space="preserve">  Grass-tree mixture</w:t>
            </w:r>
          </w:p>
        </w:tc>
        <w:tc>
          <w:tcPr>
            <w:tcW w:w="411" w:type="pct"/>
            <w:vAlign w:val="center"/>
          </w:tcPr>
          <w:p w14:paraId="10954A7D" w14:textId="77777777" w:rsidR="00E77D36" w:rsidRPr="00C1362F" w:rsidRDefault="00E77D36" w:rsidP="005B0B29">
            <w:pPr>
              <w:jc w:val="center"/>
            </w:pPr>
            <w:r>
              <w:t>659</w:t>
            </w:r>
          </w:p>
        </w:tc>
        <w:tc>
          <w:tcPr>
            <w:tcW w:w="412" w:type="pct"/>
            <w:vAlign w:val="center"/>
          </w:tcPr>
          <w:p w14:paraId="4A575FCC" w14:textId="77777777" w:rsidR="00E77D36" w:rsidRPr="00C1362F" w:rsidRDefault="00E77D36" w:rsidP="005B0B29">
            <w:pPr>
              <w:jc w:val="center"/>
            </w:pPr>
            <w:r w:rsidRPr="00C1362F">
              <w:t>0.68</w:t>
            </w:r>
          </w:p>
        </w:tc>
        <w:tc>
          <w:tcPr>
            <w:tcW w:w="411" w:type="pct"/>
            <w:vAlign w:val="center"/>
          </w:tcPr>
          <w:p w14:paraId="1502EC67" w14:textId="77777777" w:rsidR="00E77D36" w:rsidRPr="00C1362F" w:rsidRDefault="00E77D36" w:rsidP="005B0B29">
            <w:pPr>
              <w:jc w:val="center"/>
            </w:pPr>
            <w:r w:rsidRPr="00C1362F">
              <w:t>387.3</w:t>
            </w:r>
          </w:p>
        </w:tc>
        <w:tc>
          <w:tcPr>
            <w:tcW w:w="412" w:type="pct"/>
            <w:vAlign w:val="center"/>
          </w:tcPr>
          <w:p w14:paraId="2C33F659" w14:textId="77777777" w:rsidR="00E77D36" w:rsidRPr="00C1362F" w:rsidRDefault="00E77D36" w:rsidP="005B0B29">
            <w:pPr>
              <w:jc w:val="center"/>
            </w:pPr>
            <w:r w:rsidRPr="00C1362F">
              <w:t>137.6</w:t>
            </w:r>
          </w:p>
        </w:tc>
        <w:tc>
          <w:tcPr>
            <w:tcW w:w="193" w:type="pct"/>
            <w:gridSpan w:val="2"/>
            <w:tcBorders>
              <w:top w:val="nil"/>
              <w:bottom w:val="nil"/>
            </w:tcBorders>
          </w:tcPr>
          <w:p w14:paraId="607E8062" w14:textId="77777777" w:rsidR="00E77D36" w:rsidRPr="00C1362F" w:rsidRDefault="00E77D36" w:rsidP="005B0B29">
            <w:pPr>
              <w:jc w:val="center"/>
            </w:pPr>
          </w:p>
        </w:tc>
        <w:tc>
          <w:tcPr>
            <w:tcW w:w="433" w:type="pct"/>
            <w:gridSpan w:val="2"/>
            <w:vAlign w:val="center"/>
          </w:tcPr>
          <w:p w14:paraId="70101773" w14:textId="77777777" w:rsidR="00E77D36" w:rsidRPr="00C1362F" w:rsidRDefault="00E77D36" w:rsidP="005B0B29">
            <w:pPr>
              <w:jc w:val="center"/>
            </w:pPr>
            <w:r>
              <w:t>59</w:t>
            </w:r>
          </w:p>
        </w:tc>
        <w:tc>
          <w:tcPr>
            <w:tcW w:w="433" w:type="pct"/>
            <w:vAlign w:val="center"/>
          </w:tcPr>
          <w:p w14:paraId="34608D8A" w14:textId="77777777" w:rsidR="00E77D36" w:rsidRPr="00C1362F" w:rsidRDefault="00E77D36" w:rsidP="005B0B29">
            <w:pPr>
              <w:jc w:val="center"/>
            </w:pPr>
            <w:r w:rsidRPr="00C1362F">
              <w:t>0.42</w:t>
            </w:r>
          </w:p>
        </w:tc>
        <w:tc>
          <w:tcPr>
            <w:tcW w:w="433" w:type="pct"/>
            <w:vAlign w:val="center"/>
          </w:tcPr>
          <w:p w14:paraId="7722BD39" w14:textId="77777777" w:rsidR="00E77D36" w:rsidRPr="00C1362F" w:rsidRDefault="00E77D36" w:rsidP="005B0B29">
            <w:pPr>
              <w:jc w:val="center"/>
            </w:pPr>
            <w:r w:rsidRPr="00C1362F">
              <w:t>174.9</w:t>
            </w:r>
          </w:p>
        </w:tc>
        <w:tc>
          <w:tcPr>
            <w:tcW w:w="431" w:type="pct"/>
            <w:vAlign w:val="center"/>
          </w:tcPr>
          <w:p w14:paraId="0AC22899" w14:textId="77777777" w:rsidR="00E77D36" w:rsidRPr="00C1362F" w:rsidRDefault="00E77D36" w:rsidP="005B0B29">
            <w:pPr>
              <w:jc w:val="center"/>
            </w:pPr>
            <w:r w:rsidRPr="00C1362F">
              <w:t>100.3</w:t>
            </w:r>
          </w:p>
        </w:tc>
      </w:tr>
      <w:tr w:rsidR="00E77D36" w:rsidRPr="00C1362F" w14:paraId="078DF889" w14:textId="77777777" w:rsidTr="000D368A">
        <w:tc>
          <w:tcPr>
            <w:tcW w:w="5000" w:type="pct"/>
            <w:gridSpan w:val="12"/>
          </w:tcPr>
          <w:p w14:paraId="64F0DE53" w14:textId="77777777" w:rsidR="00E77D36" w:rsidRPr="00C1362F" w:rsidRDefault="00E77D36" w:rsidP="005B0B29">
            <w:pPr>
              <w:rPr>
                <w:i/>
                <w:iCs/>
              </w:rPr>
            </w:pPr>
            <w:r w:rsidRPr="00C1362F">
              <w:rPr>
                <w:i/>
                <w:iCs/>
              </w:rPr>
              <w:t>Growing season cumulative fluxes (g C m</w:t>
            </w:r>
            <w:r w:rsidRPr="00C1362F">
              <w:rPr>
                <w:i/>
                <w:iCs/>
                <w:vertAlign w:val="superscript"/>
              </w:rPr>
              <w:t>-2</w:t>
            </w:r>
            <w:r w:rsidRPr="00C1362F">
              <w:rPr>
                <w:i/>
                <w:iCs/>
              </w:rPr>
              <w:t xml:space="preserve"> per growing season)</w:t>
            </w:r>
          </w:p>
        </w:tc>
      </w:tr>
      <w:tr w:rsidR="00E77D36" w:rsidRPr="00C1362F" w14:paraId="46721907" w14:textId="77777777" w:rsidTr="000D368A">
        <w:tc>
          <w:tcPr>
            <w:tcW w:w="1431" w:type="pct"/>
            <w:vAlign w:val="center"/>
          </w:tcPr>
          <w:p w14:paraId="6C846633" w14:textId="77777777" w:rsidR="00E77D36" w:rsidRPr="00C1362F" w:rsidRDefault="00E77D36" w:rsidP="005B0B29">
            <w:r w:rsidRPr="00C1362F">
              <w:t xml:space="preserve">  Perennial and/or annual grass</w:t>
            </w:r>
          </w:p>
        </w:tc>
        <w:tc>
          <w:tcPr>
            <w:tcW w:w="411" w:type="pct"/>
            <w:vAlign w:val="center"/>
          </w:tcPr>
          <w:p w14:paraId="2E51A8D7" w14:textId="77777777" w:rsidR="00E77D36" w:rsidRPr="00C1362F" w:rsidRDefault="00E77D36" w:rsidP="005B0B29">
            <w:pPr>
              <w:jc w:val="center"/>
            </w:pPr>
            <w:r>
              <w:t>748</w:t>
            </w:r>
          </w:p>
        </w:tc>
        <w:tc>
          <w:tcPr>
            <w:tcW w:w="412" w:type="pct"/>
            <w:vAlign w:val="center"/>
          </w:tcPr>
          <w:p w14:paraId="0DC712C1" w14:textId="77777777" w:rsidR="00E77D36" w:rsidRPr="00C1362F" w:rsidRDefault="00E77D36" w:rsidP="005B0B29">
            <w:pPr>
              <w:jc w:val="center"/>
            </w:pPr>
            <w:r w:rsidRPr="00C1362F">
              <w:t>0.56</w:t>
            </w:r>
          </w:p>
        </w:tc>
        <w:tc>
          <w:tcPr>
            <w:tcW w:w="411" w:type="pct"/>
            <w:vAlign w:val="center"/>
          </w:tcPr>
          <w:p w14:paraId="29273701" w14:textId="77777777" w:rsidR="00E77D36" w:rsidRPr="00C1362F" w:rsidRDefault="00E77D36" w:rsidP="005B0B29">
            <w:pPr>
              <w:jc w:val="center"/>
            </w:pPr>
            <w:r w:rsidRPr="00C1362F">
              <w:t>256.0</w:t>
            </w:r>
          </w:p>
        </w:tc>
        <w:tc>
          <w:tcPr>
            <w:tcW w:w="412" w:type="pct"/>
            <w:vAlign w:val="center"/>
          </w:tcPr>
          <w:p w14:paraId="6075E060" w14:textId="77777777" w:rsidR="00E77D36" w:rsidRPr="00C1362F" w:rsidRDefault="00E77D36" w:rsidP="005B0B29">
            <w:pPr>
              <w:jc w:val="center"/>
            </w:pPr>
            <w:r w:rsidRPr="00C1362F">
              <w:t>7.6</w:t>
            </w:r>
          </w:p>
        </w:tc>
        <w:tc>
          <w:tcPr>
            <w:tcW w:w="193" w:type="pct"/>
            <w:gridSpan w:val="2"/>
            <w:tcBorders>
              <w:top w:val="nil"/>
              <w:bottom w:val="nil"/>
            </w:tcBorders>
          </w:tcPr>
          <w:p w14:paraId="252DB9DD" w14:textId="77777777" w:rsidR="00E77D36" w:rsidRPr="00C1362F" w:rsidRDefault="00E77D36" w:rsidP="005B0B29">
            <w:pPr>
              <w:jc w:val="center"/>
            </w:pPr>
          </w:p>
        </w:tc>
        <w:tc>
          <w:tcPr>
            <w:tcW w:w="433" w:type="pct"/>
            <w:gridSpan w:val="2"/>
            <w:vAlign w:val="center"/>
          </w:tcPr>
          <w:p w14:paraId="664017D8" w14:textId="77777777" w:rsidR="00E77D36" w:rsidRPr="00C1362F" w:rsidRDefault="00E77D36" w:rsidP="005B0B29">
            <w:pPr>
              <w:jc w:val="center"/>
            </w:pPr>
            <w:r>
              <w:t>125</w:t>
            </w:r>
          </w:p>
        </w:tc>
        <w:tc>
          <w:tcPr>
            <w:tcW w:w="433" w:type="pct"/>
            <w:vAlign w:val="center"/>
          </w:tcPr>
          <w:p w14:paraId="43DF9B07" w14:textId="77777777" w:rsidR="00E77D36" w:rsidRPr="00C1362F" w:rsidRDefault="00E77D36" w:rsidP="005B0B29">
            <w:pPr>
              <w:jc w:val="center"/>
            </w:pPr>
            <w:r w:rsidRPr="00C1362F">
              <w:t>0.45</w:t>
            </w:r>
          </w:p>
        </w:tc>
        <w:tc>
          <w:tcPr>
            <w:tcW w:w="433" w:type="pct"/>
            <w:vAlign w:val="center"/>
          </w:tcPr>
          <w:p w14:paraId="744B220C" w14:textId="77777777" w:rsidR="00E77D36" w:rsidRPr="00C1362F" w:rsidRDefault="00E77D36" w:rsidP="005B0B29">
            <w:pPr>
              <w:jc w:val="center"/>
            </w:pPr>
            <w:r w:rsidRPr="00C1362F">
              <w:t>155.5</w:t>
            </w:r>
          </w:p>
        </w:tc>
        <w:tc>
          <w:tcPr>
            <w:tcW w:w="431" w:type="pct"/>
            <w:vAlign w:val="center"/>
          </w:tcPr>
          <w:p w14:paraId="016623A5" w14:textId="77777777" w:rsidR="00E77D36" w:rsidRPr="00C1362F" w:rsidRDefault="00E77D36" w:rsidP="005B0B29">
            <w:pPr>
              <w:jc w:val="center"/>
            </w:pPr>
            <w:r w:rsidRPr="00C1362F">
              <w:t>72.3</w:t>
            </w:r>
          </w:p>
        </w:tc>
      </w:tr>
      <w:tr w:rsidR="00E77D36" w:rsidRPr="00C1362F" w14:paraId="439C4454" w14:textId="77777777" w:rsidTr="000D368A">
        <w:tc>
          <w:tcPr>
            <w:tcW w:w="1431" w:type="pct"/>
            <w:vAlign w:val="center"/>
          </w:tcPr>
          <w:p w14:paraId="22370234" w14:textId="77777777" w:rsidR="00E77D36" w:rsidRPr="00C1362F" w:rsidRDefault="00E77D36" w:rsidP="005B0B29">
            <w:r w:rsidRPr="00C1362F">
              <w:t xml:space="preserve">  Grass-shrub mixture</w:t>
            </w:r>
          </w:p>
        </w:tc>
        <w:tc>
          <w:tcPr>
            <w:tcW w:w="411" w:type="pct"/>
            <w:vAlign w:val="center"/>
          </w:tcPr>
          <w:p w14:paraId="335C4FF8" w14:textId="77777777" w:rsidR="00E77D36" w:rsidRPr="00C1362F" w:rsidRDefault="00E77D36" w:rsidP="005B0B29">
            <w:pPr>
              <w:jc w:val="center"/>
            </w:pPr>
            <w:r>
              <w:t>352</w:t>
            </w:r>
          </w:p>
        </w:tc>
        <w:tc>
          <w:tcPr>
            <w:tcW w:w="412" w:type="pct"/>
            <w:vAlign w:val="center"/>
          </w:tcPr>
          <w:p w14:paraId="7774B714" w14:textId="77777777" w:rsidR="00E77D36" w:rsidRPr="00C1362F" w:rsidRDefault="00E77D36" w:rsidP="005B0B29">
            <w:pPr>
              <w:jc w:val="center"/>
            </w:pPr>
            <w:r w:rsidRPr="00C1362F">
              <w:t>0.72</w:t>
            </w:r>
          </w:p>
        </w:tc>
        <w:tc>
          <w:tcPr>
            <w:tcW w:w="411" w:type="pct"/>
            <w:vAlign w:val="center"/>
          </w:tcPr>
          <w:p w14:paraId="53A0803D" w14:textId="77777777" w:rsidR="00E77D36" w:rsidRPr="00C1362F" w:rsidRDefault="00E77D36" w:rsidP="005B0B29">
            <w:pPr>
              <w:jc w:val="center"/>
            </w:pPr>
            <w:r w:rsidRPr="00C1362F">
              <w:t>146.5</w:t>
            </w:r>
          </w:p>
        </w:tc>
        <w:tc>
          <w:tcPr>
            <w:tcW w:w="412" w:type="pct"/>
            <w:vAlign w:val="center"/>
          </w:tcPr>
          <w:p w14:paraId="4F64754F" w14:textId="77777777" w:rsidR="00E77D36" w:rsidRPr="00C1362F" w:rsidRDefault="00E77D36" w:rsidP="005B0B29">
            <w:pPr>
              <w:jc w:val="center"/>
            </w:pPr>
            <w:r w:rsidRPr="00C1362F">
              <w:t>18.7</w:t>
            </w:r>
          </w:p>
        </w:tc>
        <w:tc>
          <w:tcPr>
            <w:tcW w:w="193" w:type="pct"/>
            <w:gridSpan w:val="2"/>
            <w:tcBorders>
              <w:top w:val="nil"/>
              <w:bottom w:val="nil"/>
            </w:tcBorders>
          </w:tcPr>
          <w:p w14:paraId="5BF526AC" w14:textId="77777777" w:rsidR="00E77D36" w:rsidRPr="00C1362F" w:rsidRDefault="00E77D36" w:rsidP="005B0B29">
            <w:pPr>
              <w:jc w:val="center"/>
            </w:pPr>
          </w:p>
        </w:tc>
        <w:tc>
          <w:tcPr>
            <w:tcW w:w="433" w:type="pct"/>
            <w:gridSpan w:val="2"/>
            <w:vAlign w:val="center"/>
          </w:tcPr>
          <w:p w14:paraId="66D97F8E" w14:textId="77777777" w:rsidR="00E77D36" w:rsidRPr="00C1362F" w:rsidRDefault="00E77D36" w:rsidP="005B0B29">
            <w:pPr>
              <w:jc w:val="center"/>
            </w:pPr>
            <w:r>
              <w:t>84</w:t>
            </w:r>
          </w:p>
        </w:tc>
        <w:tc>
          <w:tcPr>
            <w:tcW w:w="433" w:type="pct"/>
            <w:vAlign w:val="center"/>
          </w:tcPr>
          <w:p w14:paraId="40FF5A14" w14:textId="77777777" w:rsidR="00E77D36" w:rsidRPr="00C1362F" w:rsidRDefault="00E77D36" w:rsidP="005B0B29">
            <w:pPr>
              <w:jc w:val="center"/>
            </w:pPr>
            <w:r w:rsidRPr="00C1362F">
              <w:t>0.69</w:t>
            </w:r>
          </w:p>
        </w:tc>
        <w:tc>
          <w:tcPr>
            <w:tcW w:w="433" w:type="pct"/>
            <w:vAlign w:val="center"/>
          </w:tcPr>
          <w:p w14:paraId="1F2F95E6" w14:textId="77777777" w:rsidR="00E77D36" w:rsidRPr="00C1362F" w:rsidRDefault="00E77D36" w:rsidP="005B0B29">
            <w:pPr>
              <w:jc w:val="center"/>
            </w:pPr>
            <w:r w:rsidRPr="00C1362F">
              <w:t>93.6</w:t>
            </w:r>
          </w:p>
        </w:tc>
        <w:tc>
          <w:tcPr>
            <w:tcW w:w="431" w:type="pct"/>
            <w:vAlign w:val="center"/>
          </w:tcPr>
          <w:p w14:paraId="7F9649DB" w14:textId="77777777" w:rsidR="00E77D36" w:rsidRPr="00C1362F" w:rsidRDefault="00E77D36" w:rsidP="005B0B29">
            <w:pPr>
              <w:jc w:val="center"/>
            </w:pPr>
            <w:r w:rsidRPr="00C1362F">
              <w:t>68.0</w:t>
            </w:r>
          </w:p>
        </w:tc>
      </w:tr>
      <w:tr w:rsidR="00E77D36" w:rsidRPr="00C1362F" w14:paraId="09F75B7F" w14:textId="77777777" w:rsidTr="000D368A">
        <w:tc>
          <w:tcPr>
            <w:tcW w:w="1431" w:type="pct"/>
            <w:vAlign w:val="center"/>
          </w:tcPr>
          <w:p w14:paraId="5CF62866" w14:textId="77777777" w:rsidR="00E77D36" w:rsidRPr="00C1362F" w:rsidRDefault="00E77D36" w:rsidP="005B0B29">
            <w:r w:rsidRPr="00C1362F">
              <w:t xml:space="preserve">  Grass-tree mixture</w:t>
            </w:r>
          </w:p>
        </w:tc>
        <w:tc>
          <w:tcPr>
            <w:tcW w:w="411" w:type="pct"/>
            <w:vAlign w:val="center"/>
          </w:tcPr>
          <w:p w14:paraId="6A78C1BF" w14:textId="77777777" w:rsidR="00E77D36" w:rsidRPr="00C1362F" w:rsidRDefault="00E77D36" w:rsidP="005B0B29">
            <w:pPr>
              <w:jc w:val="center"/>
            </w:pPr>
            <w:r>
              <w:t>432</w:t>
            </w:r>
          </w:p>
        </w:tc>
        <w:tc>
          <w:tcPr>
            <w:tcW w:w="412" w:type="pct"/>
            <w:vAlign w:val="center"/>
          </w:tcPr>
          <w:p w14:paraId="35AD9D6B" w14:textId="77777777" w:rsidR="00E77D36" w:rsidRPr="00C1362F" w:rsidRDefault="00E77D36" w:rsidP="005B0B29">
            <w:pPr>
              <w:jc w:val="center"/>
            </w:pPr>
            <w:r w:rsidRPr="00C1362F">
              <w:t>0.64</w:t>
            </w:r>
          </w:p>
        </w:tc>
        <w:tc>
          <w:tcPr>
            <w:tcW w:w="411" w:type="pct"/>
            <w:vAlign w:val="center"/>
          </w:tcPr>
          <w:p w14:paraId="607CF453" w14:textId="77777777" w:rsidR="00E77D36" w:rsidRPr="00C1362F" w:rsidRDefault="00E77D36" w:rsidP="005B0B29">
            <w:pPr>
              <w:jc w:val="center"/>
            </w:pPr>
            <w:r w:rsidRPr="00C1362F">
              <w:t>187.6</w:t>
            </w:r>
          </w:p>
        </w:tc>
        <w:tc>
          <w:tcPr>
            <w:tcW w:w="412" w:type="pct"/>
            <w:vAlign w:val="center"/>
          </w:tcPr>
          <w:p w14:paraId="34B607EB" w14:textId="77777777" w:rsidR="00E77D36" w:rsidRPr="00C1362F" w:rsidRDefault="00E77D36" w:rsidP="005B0B29">
            <w:pPr>
              <w:jc w:val="center"/>
            </w:pPr>
            <w:r w:rsidRPr="00C1362F">
              <w:t>16.6</w:t>
            </w:r>
          </w:p>
        </w:tc>
        <w:tc>
          <w:tcPr>
            <w:tcW w:w="193" w:type="pct"/>
            <w:gridSpan w:val="2"/>
            <w:tcBorders>
              <w:top w:val="nil"/>
              <w:bottom w:val="nil"/>
            </w:tcBorders>
          </w:tcPr>
          <w:p w14:paraId="465A8E33" w14:textId="77777777" w:rsidR="00E77D36" w:rsidRPr="00C1362F" w:rsidRDefault="00E77D36" w:rsidP="005B0B29">
            <w:pPr>
              <w:jc w:val="center"/>
            </w:pPr>
          </w:p>
        </w:tc>
        <w:tc>
          <w:tcPr>
            <w:tcW w:w="433" w:type="pct"/>
            <w:gridSpan w:val="2"/>
            <w:vAlign w:val="center"/>
          </w:tcPr>
          <w:p w14:paraId="1B0E0D7A" w14:textId="77777777" w:rsidR="00E77D36" w:rsidRPr="00C1362F" w:rsidRDefault="00E77D36" w:rsidP="005B0B29">
            <w:pPr>
              <w:jc w:val="center"/>
            </w:pPr>
            <w:r>
              <w:t>41</w:t>
            </w:r>
          </w:p>
        </w:tc>
        <w:tc>
          <w:tcPr>
            <w:tcW w:w="433" w:type="pct"/>
            <w:vAlign w:val="center"/>
          </w:tcPr>
          <w:p w14:paraId="0527B7B9" w14:textId="77777777" w:rsidR="00E77D36" w:rsidRPr="00C1362F" w:rsidRDefault="00E77D36" w:rsidP="005B0B29">
            <w:pPr>
              <w:jc w:val="center"/>
            </w:pPr>
            <w:r w:rsidRPr="00C1362F">
              <w:t>0.40</w:t>
            </w:r>
          </w:p>
        </w:tc>
        <w:tc>
          <w:tcPr>
            <w:tcW w:w="433" w:type="pct"/>
            <w:vAlign w:val="center"/>
          </w:tcPr>
          <w:p w14:paraId="5FBFE2BC" w14:textId="77777777" w:rsidR="00E77D36" w:rsidRPr="00C1362F" w:rsidRDefault="00E77D36" w:rsidP="005B0B29">
            <w:pPr>
              <w:jc w:val="center"/>
            </w:pPr>
            <w:r w:rsidRPr="00C1362F">
              <w:t>120.7</w:t>
            </w:r>
          </w:p>
        </w:tc>
        <w:tc>
          <w:tcPr>
            <w:tcW w:w="431" w:type="pct"/>
            <w:vAlign w:val="center"/>
          </w:tcPr>
          <w:p w14:paraId="5F6A3EC8" w14:textId="77777777" w:rsidR="00E77D36" w:rsidRPr="00C1362F" w:rsidRDefault="00E77D36" w:rsidP="005B0B29">
            <w:pPr>
              <w:jc w:val="center"/>
            </w:pPr>
            <w:r w:rsidRPr="00C1362F">
              <w:t>50.6</w:t>
            </w:r>
          </w:p>
        </w:tc>
      </w:tr>
      <w:tr w:rsidR="00E77D36" w:rsidRPr="00C1362F" w14:paraId="02205738" w14:textId="77777777" w:rsidTr="000D368A">
        <w:tc>
          <w:tcPr>
            <w:tcW w:w="5000" w:type="pct"/>
            <w:gridSpan w:val="12"/>
          </w:tcPr>
          <w:p w14:paraId="717DCCA2" w14:textId="77777777" w:rsidR="00E77D36" w:rsidRPr="00C1362F" w:rsidRDefault="00E77D36" w:rsidP="005B0B29">
            <w:pPr>
              <w:rPr>
                <w:i/>
                <w:iCs/>
              </w:rPr>
            </w:pPr>
            <w:r w:rsidRPr="00C1362F">
              <w:rPr>
                <w:i/>
                <w:iCs/>
              </w:rPr>
              <w:t>Monthly cumulative fluxes (g C m</w:t>
            </w:r>
            <w:r w:rsidRPr="00C1362F">
              <w:rPr>
                <w:i/>
                <w:iCs/>
                <w:vertAlign w:val="superscript"/>
              </w:rPr>
              <w:t>-2</w:t>
            </w:r>
            <w:r w:rsidRPr="00C1362F">
              <w:rPr>
                <w:i/>
                <w:iCs/>
              </w:rPr>
              <w:t xml:space="preserve"> month</w:t>
            </w:r>
            <w:r w:rsidRPr="00C1362F">
              <w:rPr>
                <w:i/>
                <w:iCs/>
                <w:vertAlign w:val="superscript"/>
              </w:rPr>
              <w:t>-1</w:t>
            </w:r>
            <w:r w:rsidRPr="00C1362F">
              <w:rPr>
                <w:i/>
                <w:iCs/>
              </w:rPr>
              <w:t>)</w:t>
            </w:r>
          </w:p>
        </w:tc>
      </w:tr>
      <w:tr w:rsidR="00E77D36" w:rsidRPr="00C1362F" w14:paraId="30E98B30" w14:textId="77777777" w:rsidTr="000D368A">
        <w:tc>
          <w:tcPr>
            <w:tcW w:w="1431" w:type="pct"/>
            <w:vAlign w:val="center"/>
          </w:tcPr>
          <w:p w14:paraId="2DBEB645" w14:textId="77777777" w:rsidR="00E77D36" w:rsidRPr="00C1362F" w:rsidRDefault="00E77D36" w:rsidP="005B0B29">
            <w:r w:rsidRPr="00C1362F">
              <w:t xml:space="preserve">  Perennial and/or annual grass</w:t>
            </w:r>
          </w:p>
        </w:tc>
        <w:tc>
          <w:tcPr>
            <w:tcW w:w="411" w:type="pct"/>
            <w:vAlign w:val="center"/>
          </w:tcPr>
          <w:p w14:paraId="08632E05" w14:textId="77777777" w:rsidR="00E77D36" w:rsidRPr="00C1362F" w:rsidRDefault="00E77D36" w:rsidP="005B0B29">
            <w:pPr>
              <w:jc w:val="center"/>
            </w:pPr>
            <w:r>
              <w:t>79</w:t>
            </w:r>
          </w:p>
        </w:tc>
        <w:tc>
          <w:tcPr>
            <w:tcW w:w="412" w:type="pct"/>
            <w:vAlign w:val="center"/>
          </w:tcPr>
          <w:p w14:paraId="5FE91BBA" w14:textId="77777777" w:rsidR="00E77D36" w:rsidRPr="00C1362F" w:rsidRDefault="00E77D36" w:rsidP="005B0B29">
            <w:pPr>
              <w:jc w:val="center"/>
            </w:pPr>
            <w:r w:rsidRPr="00C1362F">
              <w:t>0.72</w:t>
            </w:r>
          </w:p>
        </w:tc>
        <w:tc>
          <w:tcPr>
            <w:tcW w:w="411" w:type="pct"/>
            <w:vAlign w:val="center"/>
          </w:tcPr>
          <w:p w14:paraId="0CD9AB54" w14:textId="77777777" w:rsidR="00E77D36" w:rsidRPr="00C1362F" w:rsidRDefault="00E77D36" w:rsidP="005B0B29">
            <w:pPr>
              <w:jc w:val="center"/>
            </w:pPr>
            <w:r w:rsidRPr="00C1362F">
              <w:t>49.8</w:t>
            </w:r>
          </w:p>
        </w:tc>
        <w:tc>
          <w:tcPr>
            <w:tcW w:w="412" w:type="pct"/>
            <w:vAlign w:val="center"/>
          </w:tcPr>
          <w:p w14:paraId="158E798E" w14:textId="77777777" w:rsidR="00E77D36" w:rsidRPr="00C1362F" w:rsidRDefault="00E77D36" w:rsidP="005B0B29">
            <w:pPr>
              <w:jc w:val="center"/>
            </w:pPr>
            <w:r w:rsidRPr="00C1362F">
              <w:t>2.0</w:t>
            </w:r>
          </w:p>
        </w:tc>
        <w:tc>
          <w:tcPr>
            <w:tcW w:w="193" w:type="pct"/>
            <w:gridSpan w:val="2"/>
            <w:tcBorders>
              <w:top w:val="nil"/>
              <w:bottom w:val="nil"/>
            </w:tcBorders>
          </w:tcPr>
          <w:p w14:paraId="15D9ED5E" w14:textId="77777777" w:rsidR="00E77D36" w:rsidRPr="00C1362F" w:rsidRDefault="00E77D36" w:rsidP="005B0B29">
            <w:pPr>
              <w:jc w:val="center"/>
            </w:pPr>
          </w:p>
        </w:tc>
        <w:tc>
          <w:tcPr>
            <w:tcW w:w="433" w:type="pct"/>
            <w:gridSpan w:val="2"/>
            <w:vAlign w:val="center"/>
          </w:tcPr>
          <w:p w14:paraId="6473EC23" w14:textId="77777777" w:rsidR="00E77D36" w:rsidRPr="00C1362F" w:rsidRDefault="00E77D36" w:rsidP="005B0B29">
            <w:pPr>
              <w:jc w:val="center"/>
            </w:pPr>
            <w:r>
              <w:t>9</w:t>
            </w:r>
          </w:p>
        </w:tc>
        <w:tc>
          <w:tcPr>
            <w:tcW w:w="433" w:type="pct"/>
            <w:vAlign w:val="center"/>
          </w:tcPr>
          <w:p w14:paraId="4E36F55F" w14:textId="77777777" w:rsidR="00E77D36" w:rsidRPr="00C1362F" w:rsidRDefault="00E77D36" w:rsidP="005B0B29">
            <w:pPr>
              <w:jc w:val="center"/>
            </w:pPr>
            <w:r w:rsidRPr="00C1362F">
              <w:t>0.42</w:t>
            </w:r>
          </w:p>
        </w:tc>
        <w:tc>
          <w:tcPr>
            <w:tcW w:w="433" w:type="pct"/>
            <w:vAlign w:val="center"/>
          </w:tcPr>
          <w:p w14:paraId="2D70249D" w14:textId="77777777" w:rsidR="00E77D36" w:rsidRPr="00C1362F" w:rsidRDefault="00E77D36" w:rsidP="005B0B29">
            <w:pPr>
              <w:jc w:val="center"/>
            </w:pPr>
            <w:r w:rsidRPr="00C1362F">
              <w:t>34.2</w:t>
            </w:r>
          </w:p>
        </w:tc>
        <w:tc>
          <w:tcPr>
            <w:tcW w:w="431" w:type="pct"/>
            <w:vAlign w:val="center"/>
          </w:tcPr>
          <w:p w14:paraId="4239727A" w14:textId="77777777" w:rsidR="00E77D36" w:rsidRPr="00C1362F" w:rsidRDefault="00E77D36" w:rsidP="005B0B29">
            <w:pPr>
              <w:jc w:val="center"/>
            </w:pPr>
            <w:r w:rsidRPr="00C1362F">
              <w:t>8.6</w:t>
            </w:r>
          </w:p>
        </w:tc>
      </w:tr>
      <w:tr w:rsidR="00E77D36" w:rsidRPr="00C1362F" w14:paraId="2C31DC27" w14:textId="77777777" w:rsidTr="000D368A">
        <w:tc>
          <w:tcPr>
            <w:tcW w:w="1431" w:type="pct"/>
            <w:vAlign w:val="center"/>
          </w:tcPr>
          <w:p w14:paraId="0A8D7440" w14:textId="77777777" w:rsidR="00E77D36" w:rsidRPr="00C1362F" w:rsidRDefault="00E77D36" w:rsidP="005B0B29">
            <w:r w:rsidRPr="00C1362F">
              <w:t xml:space="preserve">  Grass-shrub mixture</w:t>
            </w:r>
          </w:p>
        </w:tc>
        <w:tc>
          <w:tcPr>
            <w:tcW w:w="411" w:type="pct"/>
            <w:vAlign w:val="center"/>
          </w:tcPr>
          <w:p w14:paraId="6FB17D7C" w14:textId="77777777" w:rsidR="00E77D36" w:rsidRPr="00C1362F" w:rsidRDefault="00E77D36" w:rsidP="005B0B29">
            <w:pPr>
              <w:jc w:val="center"/>
            </w:pPr>
            <w:r>
              <w:t>34</w:t>
            </w:r>
          </w:p>
        </w:tc>
        <w:tc>
          <w:tcPr>
            <w:tcW w:w="412" w:type="pct"/>
            <w:vAlign w:val="center"/>
          </w:tcPr>
          <w:p w14:paraId="0727EDC5" w14:textId="77777777" w:rsidR="00E77D36" w:rsidRPr="00C1362F" w:rsidRDefault="00E77D36" w:rsidP="005B0B29">
            <w:pPr>
              <w:jc w:val="center"/>
            </w:pPr>
            <w:r w:rsidRPr="00C1362F">
              <w:t>0.73</w:t>
            </w:r>
          </w:p>
        </w:tc>
        <w:tc>
          <w:tcPr>
            <w:tcW w:w="411" w:type="pct"/>
            <w:vAlign w:val="center"/>
          </w:tcPr>
          <w:p w14:paraId="21D94B73" w14:textId="77777777" w:rsidR="00E77D36" w:rsidRPr="00C1362F" w:rsidRDefault="00E77D36" w:rsidP="005B0B29">
            <w:pPr>
              <w:jc w:val="center"/>
            </w:pPr>
            <w:r w:rsidRPr="00C1362F">
              <w:t>26.3</w:t>
            </w:r>
          </w:p>
        </w:tc>
        <w:tc>
          <w:tcPr>
            <w:tcW w:w="412" w:type="pct"/>
            <w:vAlign w:val="center"/>
          </w:tcPr>
          <w:p w14:paraId="28304D0D" w14:textId="77777777" w:rsidR="00E77D36" w:rsidRPr="00C1362F" w:rsidRDefault="00E77D36" w:rsidP="005B0B29">
            <w:pPr>
              <w:jc w:val="center"/>
            </w:pPr>
            <w:r w:rsidRPr="00C1362F">
              <w:t>0.8</w:t>
            </w:r>
          </w:p>
        </w:tc>
        <w:tc>
          <w:tcPr>
            <w:tcW w:w="193" w:type="pct"/>
            <w:gridSpan w:val="2"/>
            <w:tcBorders>
              <w:top w:val="nil"/>
              <w:bottom w:val="nil"/>
            </w:tcBorders>
          </w:tcPr>
          <w:p w14:paraId="6008B021" w14:textId="77777777" w:rsidR="00E77D36" w:rsidRPr="00C1362F" w:rsidRDefault="00E77D36" w:rsidP="005B0B29">
            <w:pPr>
              <w:jc w:val="center"/>
            </w:pPr>
          </w:p>
        </w:tc>
        <w:tc>
          <w:tcPr>
            <w:tcW w:w="433" w:type="pct"/>
            <w:gridSpan w:val="2"/>
            <w:vAlign w:val="center"/>
          </w:tcPr>
          <w:p w14:paraId="4859DBF9" w14:textId="77777777" w:rsidR="00E77D36" w:rsidRPr="00C1362F" w:rsidRDefault="00E77D36" w:rsidP="005B0B29">
            <w:pPr>
              <w:jc w:val="center"/>
            </w:pPr>
            <w:r>
              <w:t>6</w:t>
            </w:r>
          </w:p>
        </w:tc>
        <w:tc>
          <w:tcPr>
            <w:tcW w:w="433" w:type="pct"/>
            <w:vAlign w:val="center"/>
          </w:tcPr>
          <w:p w14:paraId="3A58AE35" w14:textId="77777777" w:rsidR="00E77D36" w:rsidRPr="00C1362F" w:rsidRDefault="00E77D36" w:rsidP="005B0B29">
            <w:pPr>
              <w:jc w:val="center"/>
            </w:pPr>
            <w:r w:rsidRPr="00C1362F">
              <w:t>0.58</w:t>
            </w:r>
          </w:p>
        </w:tc>
        <w:tc>
          <w:tcPr>
            <w:tcW w:w="433" w:type="pct"/>
            <w:vAlign w:val="center"/>
          </w:tcPr>
          <w:p w14:paraId="771FFD6B" w14:textId="77777777" w:rsidR="00E77D36" w:rsidRPr="00C1362F" w:rsidRDefault="00E77D36" w:rsidP="005B0B29">
            <w:pPr>
              <w:jc w:val="center"/>
            </w:pPr>
            <w:r w:rsidRPr="00C1362F">
              <w:t>17.2</w:t>
            </w:r>
          </w:p>
        </w:tc>
        <w:tc>
          <w:tcPr>
            <w:tcW w:w="431" w:type="pct"/>
            <w:vAlign w:val="center"/>
          </w:tcPr>
          <w:p w14:paraId="2149EDBB" w14:textId="77777777" w:rsidR="00E77D36" w:rsidRPr="00C1362F" w:rsidRDefault="00E77D36" w:rsidP="005B0B29">
            <w:pPr>
              <w:jc w:val="center"/>
            </w:pPr>
            <w:r w:rsidRPr="00C1362F">
              <w:t>6.6</w:t>
            </w:r>
          </w:p>
        </w:tc>
      </w:tr>
      <w:tr w:rsidR="00E77D36" w:rsidRPr="00C1362F" w14:paraId="388D2CF0" w14:textId="77777777" w:rsidTr="000D368A">
        <w:tc>
          <w:tcPr>
            <w:tcW w:w="1431" w:type="pct"/>
            <w:vAlign w:val="center"/>
          </w:tcPr>
          <w:p w14:paraId="0FD78702" w14:textId="77777777" w:rsidR="00E77D36" w:rsidRPr="00C1362F" w:rsidRDefault="00E77D36" w:rsidP="005B0B29">
            <w:r w:rsidRPr="00C1362F">
              <w:t xml:space="preserve">  Grass-tree mixture</w:t>
            </w:r>
          </w:p>
        </w:tc>
        <w:tc>
          <w:tcPr>
            <w:tcW w:w="411" w:type="pct"/>
            <w:vAlign w:val="center"/>
          </w:tcPr>
          <w:p w14:paraId="5A630C1A" w14:textId="77777777" w:rsidR="00E77D36" w:rsidRPr="00C1362F" w:rsidRDefault="00E77D36" w:rsidP="005B0B29">
            <w:pPr>
              <w:jc w:val="center"/>
            </w:pPr>
            <w:r>
              <w:t>52</w:t>
            </w:r>
          </w:p>
        </w:tc>
        <w:tc>
          <w:tcPr>
            <w:tcW w:w="412" w:type="pct"/>
            <w:vAlign w:val="center"/>
          </w:tcPr>
          <w:p w14:paraId="24D41A03" w14:textId="77777777" w:rsidR="00E77D36" w:rsidRPr="00C1362F" w:rsidRDefault="00E77D36" w:rsidP="005B0B29">
            <w:pPr>
              <w:jc w:val="center"/>
            </w:pPr>
            <w:r w:rsidRPr="00C1362F">
              <w:t>0.70</w:t>
            </w:r>
          </w:p>
        </w:tc>
        <w:tc>
          <w:tcPr>
            <w:tcW w:w="411" w:type="pct"/>
            <w:vAlign w:val="center"/>
          </w:tcPr>
          <w:p w14:paraId="77F6B363" w14:textId="77777777" w:rsidR="00E77D36" w:rsidRPr="00C1362F" w:rsidRDefault="00E77D36" w:rsidP="005B0B29">
            <w:pPr>
              <w:jc w:val="center"/>
            </w:pPr>
            <w:r w:rsidRPr="00C1362F">
              <w:t>45.4</w:t>
            </w:r>
          </w:p>
        </w:tc>
        <w:tc>
          <w:tcPr>
            <w:tcW w:w="412" w:type="pct"/>
            <w:vAlign w:val="center"/>
          </w:tcPr>
          <w:p w14:paraId="4E4CD60C" w14:textId="77777777" w:rsidR="00E77D36" w:rsidRPr="00C1362F" w:rsidRDefault="00E77D36" w:rsidP="005B0B29">
            <w:pPr>
              <w:jc w:val="center"/>
            </w:pPr>
            <w:r w:rsidRPr="00C1362F">
              <w:t>12.7</w:t>
            </w:r>
          </w:p>
        </w:tc>
        <w:tc>
          <w:tcPr>
            <w:tcW w:w="193" w:type="pct"/>
            <w:gridSpan w:val="2"/>
            <w:tcBorders>
              <w:top w:val="nil"/>
              <w:bottom w:val="single" w:sz="12" w:space="0" w:color="auto"/>
            </w:tcBorders>
          </w:tcPr>
          <w:p w14:paraId="74BC7893" w14:textId="77777777" w:rsidR="00E77D36" w:rsidRPr="00C1362F" w:rsidRDefault="00E77D36" w:rsidP="005B0B29">
            <w:pPr>
              <w:jc w:val="center"/>
            </w:pPr>
          </w:p>
        </w:tc>
        <w:tc>
          <w:tcPr>
            <w:tcW w:w="433" w:type="pct"/>
            <w:gridSpan w:val="2"/>
            <w:vAlign w:val="center"/>
          </w:tcPr>
          <w:p w14:paraId="7D6AA705" w14:textId="77777777" w:rsidR="00E77D36" w:rsidRPr="00C1362F" w:rsidRDefault="00E77D36" w:rsidP="005B0B29">
            <w:pPr>
              <w:jc w:val="center"/>
            </w:pPr>
            <w:r>
              <w:t>41</w:t>
            </w:r>
          </w:p>
        </w:tc>
        <w:tc>
          <w:tcPr>
            <w:tcW w:w="433" w:type="pct"/>
            <w:vAlign w:val="center"/>
          </w:tcPr>
          <w:p w14:paraId="7F966253" w14:textId="77777777" w:rsidR="00E77D36" w:rsidRPr="00C1362F" w:rsidRDefault="00E77D36" w:rsidP="005B0B29">
            <w:pPr>
              <w:jc w:val="center"/>
            </w:pPr>
            <w:r w:rsidRPr="00C1362F">
              <w:t>0.46</w:t>
            </w:r>
          </w:p>
        </w:tc>
        <w:tc>
          <w:tcPr>
            <w:tcW w:w="433" w:type="pct"/>
            <w:vAlign w:val="center"/>
          </w:tcPr>
          <w:p w14:paraId="4746FF91" w14:textId="77777777" w:rsidR="00E77D36" w:rsidRPr="00C1362F" w:rsidRDefault="00E77D36" w:rsidP="005B0B29">
            <w:pPr>
              <w:jc w:val="center"/>
            </w:pPr>
            <w:r w:rsidRPr="00C1362F">
              <w:t>24.5</w:t>
            </w:r>
          </w:p>
        </w:tc>
        <w:tc>
          <w:tcPr>
            <w:tcW w:w="431" w:type="pct"/>
            <w:vAlign w:val="center"/>
          </w:tcPr>
          <w:p w14:paraId="09C7296F" w14:textId="77777777" w:rsidR="00E77D36" w:rsidRPr="00C1362F" w:rsidRDefault="00E77D36" w:rsidP="005B0B29">
            <w:pPr>
              <w:jc w:val="center"/>
            </w:pPr>
            <w:r w:rsidRPr="00C1362F">
              <w:t>9.0</w:t>
            </w:r>
          </w:p>
        </w:tc>
      </w:tr>
    </w:tbl>
    <w:bookmarkEnd w:id="13"/>
    <w:p w14:paraId="30318B0F" w14:textId="77777777" w:rsidR="00E77D36" w:rsidRPr="00803B8A" w:rsidRDefault="00E77D36" w:rsidP="005B0B29">
      <w:pPr>
        <w:spacing w:before="120"/>
        <w:ind w:firstLine="720"/>
        <w:jc w:val="both"/>
        <w:rPr>
          <w:rFonts w:eastAsia="Arial"/>
          <w:sz w:val="24"/>
        </w:rPr>
      </w:pPr>
      <w:r>
        <w:rPr>
          <w:rFonts w:eastAsia="Arial"/>
          <w:sz w:val="24"/>
        </w:rPr>
        <w:t>The</w:t>
      </w:r>
      <w:r w:rsidRPr="00C1362F">
        <w:rPr>
          <w:rFonts w:eastAsia="Arial"/>
          <w:sz w:val="24"/>
        </w:rPr>
        <w:t xml:space="preserve"> model performance (R</w:t>
      </w:r>
      <w:r w:rsidRPr="00C1362F">
        <w:rPr>
          <w:rFonts w:eastAsia="Arial"/>
          <w:sz w:val="24"/>
          <w:vertAlign w:val="superscript"/>
        </w:rPr>
        <w:t>2</w:t>
      </w:r>
      <w:r w:rsidRPr="00C1362F">
        <w:rPr>
          <w:rFonts w:eastAsia="Arial"/>
          <w:sz w:val="24"/>
        </w:rPr>
        <w:t xml:space="preserve"> between 0.6 and 0.7) for estimating cumulative annual or monthly RECO (SI: Table D1)</w:t>
      </w:r>
      <w:r>
        <w:rPr>
          <w:rFonts w:eastAsia="Arial"/>
          <w:sz w:val="24"/>
        </w:rPr>
        <w:t xml:space="preserve"> was similar to that reported for GPP models (Table 2)</w:t>
      </w:r>
      <w:r w:rsidRPr="00C1362F">
        <w:rPr>
          <w:rFonts w:eastAsia="Arial"/>
          <w:sz w:val="24"/>
        </w:rPr>
        <w:t>.</w:t>
      </w:r>
      <w:r w:rsidRPr="00803B8A">
        <w:rPr>
          <w:rFonts w:eastAsia="Arial"/>
          <w:sz w:val="24"/>
        </w:rPr>
        <w:t xml:space="preserve"> </w:t>
      </w:r>
      <w:r w:rsidRPr="00C1362F">
        <w:rPr>
          <w:rFonts w:eastAsia="Arial"/>
          <w:sz w:val="24"/>
        </w:rPr>
        <w:t>Model estimates for RECO were more accurate for grass-shrub (R</w:t>
      </w:r>
      <w:r w:rsidRPr="00C1362F">
        <w:rPr>
          <w:rFonts w:eastAsia="Arial"/>
          <w:sz w:val="24"/>
          <w:vertAlign w:val="superscript"/>
        </w:rPr>
        <w:t>2</w:t>
      </w:r>
      <w:r w:rsidRPr="00C1362F">
        <w:rPr>
          <w:rFonts w:eastAsia="Arial"/>
          <w:sz w:val="24"/>
        </w:rPr>
        <w:t xml:space="preserve"> = 0.64) or perennial and/or annual grass (R</w:t>
      </w:r>
      <w:r w:rsidRPr="00C1362F">
        <w:rPr>
          <w:rFonts w:eastAsia="Arial"/>
          <w:sz w:val="24"/>
          <w:vertAlign w:val="superscript"/>
        </w:rPr>
        <w:t>2</w:t>
      </w:r>
      <w:r w:rsidRPr="00C1362F">
        <w:rPr>
          <w:rFonts w:eastAsia="Arial"/>
          <w:sz w:val="24"/>
        </w:rPr>
        <w:t xml:space="preserve"> = 0.60) sites </w:t>
      </w:r>
      <w:r>
        <w:rPr>
          <w:rFonts w:eastAsia="Arial"/>
          <w:sz w:val="24"/>
        </w:rPr>
        <w:t>compared to</w:t>
      </w:r>
      <w:r w:rsidRPr="00C1362F">
        <w:rPr>
          <w:rFonts w:eastAsia="Arial"/>
          <w:sz w:val="24"/>
        </w:rPr>
        <w:t xml:space="preserve"> grass-tree (R</w:t>
      </w:r>
      <w:r w:rsidRPr="00C1362F">
        <w:rPr>
          <w:rFonts w:eastAsia="Arial"/>
          <w:sz w:val="24"/>
          <w:vertAlign w:val="superscript"/>
        </w:rPr>
        <w:t>2</w:t>
      </w:r>
      <w:r w:rsidRPr="00C1362F">
        <w:rPr>
          <w:rFonts w:eastAsia="Arial"/>
          <w:sz w:val="24"/>
        </w:rPr>
        <w:t xml:space="preserve"> = 0.38) mixture sites (SI: Fig. D1). </w:t>
      </w:r>
    </w:p>
    <w:p w14:paraId="77B09417" w14:textId="0C2AFA1B" w:rsidR="00E77D36" w:rsidRPr="00C1362F" w:rsidRDefault="00E77D36" w:rsidP="005B0B29">
      <w:pPr>
        <w:pStyle w:val="Heading-Secondary"/>
      </w:pPr>
      <w:r w:rsidRPr="00C1362F">
        <w:t xml:space="preserve">3.2 Model </w:t>
      </w:r>
      <w:r w:rsidR="005B0B29">
        <w:t>a</w:t>
      </w:r>
      <w:r w:rsidRPr="00C1362F">
        <w:t xml:space="preserve">ccuracy for </w:t>
      </w:r>
      <w:r w:rsidR="005B0B29">
        <w:t>e</w:t>
      </w:r>
      <w:r w:rsidRPr="00C1362F">
        <w:t xml:space="preserve">stimating </w:t>
      </w:r>
      <w:r w:rsidR="005B0B29">
        <w:t>n</w:t>
      </w:r>
      <w:r>
        <w:t xml:space="preserve">et </w:t>
      </w:r>
      <w:r w:rsidR="005B0B29">
        <w:t>r</w:t>
      </w:r>
      <w:r w:rsidRPr="00C1362F">
        <w:t xml:space="preserve">angeland C </w:t>
      </w:r>
      <w:r w:rsidR="005B0B29">
        <w:t>f</w:t>
      </w:r>
      <w:r w:rsidRPr="00C1362F">
        <w:t xml:space="preserve">luxes and SOC </w:t>
      </w:r>
      <w:r w:rsidR="005B0B29">
        <w:t>s</w:t>
      </w:r>
      <w:r w:rsidRPr="00C1362F">
        <w:t>tocks</w:t>
      </w:r>
    </w:p>
    <w:p w14:paraId="4C2E27CC" w14:textId="77777777" w:rsidR="00E77D36" w:rsidRPr="00C1362F" w:rsidRDefault="00E77D36" w:rsidP="005B0B29">
      <w:pPr>
        <w:spacing w:before="120"/>
        <w:ind w:firstLine="720"/>
        <w:jc w:val="both"/>
        <w:rPr>
          <w:rFonts w:eastAsia="Arial"/>
          <w:sz w:val="24"/>
        </w:rPr>
      </w:pPr>
      <w:r w:rsidRPr="00C1362F">
        <w:rPr>
          <w:rFonts w:eastAsia="Arial"/>
          <w:sz w:val="24"/>
        </w:rPr>
        <w:t xml:space="preserve">The model performed better for estimating daily NEE from </w:t>
      </w:r>
      <w:r w:rsidRPr="00C1362F">
        <w:rPr>
          <w:rFonts w:eastAsia="SimSun"/>
          <w:bCs/>
          <w:sz w:val="24"/>
          <w:szCs w:val="24"/>
        </w:rPr>
        <w:t>grass-shrub mixture</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0.47, RMSE = 0.6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xml:space="preserve">) and </w:t>
      </w:r>
      <w:r w:rsidRPr="00C1362F">
        <w:rPr>
          <w:rFonts w:eastAsia="SimSun"/>
          <w:bCs/>
          <w:sz w:val="24"/>
          <w:szCs w:val="24"/>
        </w:rPr>
        <w:t>grass-tree mixture</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0.37, RMSE = 0.8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sites than the perennial and/or annual grass</w:t>
      </w:r>
      <w:r>
        <w:rPr>
          <w:rFonts w:eastAsia="Arial"/>
          <w:sz w:val="24"/>
        </w:rPr>
        <w:t xml:space="preserve"> sites</w:t>
      </w:r>
      <w:r w:rsidRPr="00C1362F">
        <w:rPr>
          <w:rFonts w:eastAsia="Arial"/>
          <w:sz w:val="24"/>
        </w:rPr>
        <w:t xml:space="preserve"> (R</w:t>
      </w:r>
      <w:r w:rsidRPr="00C1362F">
        <w:rPr>
          <w:rFonts w:eastAsia="Arial"/>
          <w:sz w:val="24"/>
          <w:vertAlign w:val="superscript"/>
        </w:rPr>
        <w:t>2</w:t>
      </w:r>
      <w:r w:rsidRPr="00C1362F">
        <w:rPr>
          <w:rFonts w:eastAsia="Arial"/>
          <w:sz w:val="24"/>
        </w:rPr>
        <w:t xml:space="preserve"> = 0.27, RMSE = 1.6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sites (Fig. 5). Daily NEE from the managed hay and pasture sites were estimated with limited accuracy using the perennial and/or annual grass -specific model (R</w:t>
      </w:r>
      <w:r w:rsidRPr="00C1362F">
        <w:rPr>
          <w:rFonts w:eastAsia="Arial"/>
          <w:sz w:val="24"/>
          <w:vertAlign w:val="superscript"/>
        </w:rPr>
        <w:t>2</w:t>
      </w:r>
      <w:r w:rsidRPr="00C1362F">
        <w:rPr>
          <w:rFonts w:eastAsia="Arial"/>
          <w:sz w:val="24"/>
        </w:rPr>
        <w:t xml:space="preserve"> = 0.21, RMSE = 2.1 g 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The LOOCV results also suggest the need to further improve the NEE models, especially for the perennial and/or annual grass sites (R</w:t>
      </w:r>
      <w:r w:rsidRPr="00C1362F">
        <w:rPr>
          <w:rFonts w:eastAsia="Arial"/>
          <w:sz w:val="24"/>
          <w:vertAlign w:val="superscript"/>
        </w:rPr>
        <w:t>2</w:t>
      </w:r>
      <w:r w:rsidRPr="00C1362F">
        <w:rPr>
          <w:rFonts w:eastAsia="Arial"/>
          <w:sz w:val="24"/>
        </w:rPr>
        <w:t xml:space="preserve"> = 0.32</w:t>
      </w:r>
      <w:r>
        <w:rPr>
          <w:rFonts w:eastAsia="Arial"/>
          <w:sz w:val="24"/>
        </w:rPr>
        <w:t xml:space="preserve">, MBE </w:t>
      </w:r>
      <m:oMath>
        <m:r>
          <w:rPr>
            <w:rFonts w:ascii="Cambria Math" w:eastAsia="Arial" w:hAnsi="Cambria Math"/>
            <w:sz w:val="24"/>
          </w:rPr>
          <m:t>≥</m:t>
        </m:r>
      </m:oMath>
      <w:r>
        <w:rPr>
          <w:rFonts w:eastAsia="Arial"/>
          <w:sz w:val="24"/>
        </w:rPr>
        <w:t xml:space="preserve"> 0.3 g C m</w:t>
      </w:r>
      <w:r w:rsidRPr="001546EB">
        <w:rPr>
          <w:rFonts w:eastAsia="Arial"/>
          <w:sz w:val="24"/>
          <w:vertAlign w:val="superscript"/>
        </w:rPr>
        <w:t>-2</w:t>
      </w:r>
      <w:r>
        <w:rPr>
          <w:rFonts w:eastAsia="Arial"/>
          <w:sz w:val="24"/>
        </w:rPr>
        <w:t xml:space="preserve"> day</w:t>
      </w:r>
      <w:r w:rsidRPr="001546EB">
        <w:rPr>
          <w:rFonts w:eastAsia="Arial"/>
          <w:sz w:val="24"/>
          <w:vertAlign w:val="superscript"/>
        </w:rPr>
        <w:t>-1</w:t>
      </w:r>
      <w:r w:rsidRPr="00C1362F">
        <w:rPr>
          <w:rFonts w:eastAsia="Arial"/>
          <w:sz w:val="24"/>
        </w:rPr>
        <w:t xml:space="preserve">). </w:t>
      </w:r>
    </w:p>
    <w:p w14:paraId="21B99740" w14:textId="3ADD6B95" w:rsidR="00E77D36" w:rsidRPr="00C1362F" w:rsidRDefault="00FA6A63" w:rsidP="00E77D36">
      <w:pPr>
        <w:spacing w:before="120"/>
        <w:jc w:val="center"/>
        <w:rPr>
          <w:rFonts w:eastAsia="Arial"/>
          <w:b/>
          <w:bCs/>
          <w:sz w:val="24"/>
        </w:rPr>
      </w:pPr>
      <w:r>
        <w:rPr>
          <w:rFonts w:eastAsia="Arial"/>
          <w:noProof/>
          <w:sz w:val="24"/>
        </w:rPr>
        <w:lastRenderedPageBreak/>
        <w:drawing>
          <wp:inline distT="0" distB="0" distL="0" distR="0" wp14:anchorId="4F0847B3" wp14:editId="2E4226F6">
            <wp:extent cx="5935345" cy="4145915"/>
            <wp:effectExtent l="0" t="0" r="8255" b="6985"/>
            <wp:docPr id="20823309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35345" cy="4145915"/>
                    </a:xfrm>
                    <a:prstGeom prst="rect">
                      <a:avLst/>
                    </a:prstGeom>
                    <a:noFill/>
                    <a:ln>
                      <a:noFill/>
                    </a:ln>
                  </pic:spPr>
                </pic:pic>
              </a:graphicData>
            </a:graphic>
          </wp:inline>
        </w:drawing>
      </w:r>
    </w:p>
    <w:p w14:paraId="67EC396E" w14:textId="4309901F" w:rsidR="00E77D36" w:rsidRPr="00C1362F" w:rsidRDefault="00E77D36" w:rsidP="005B0B29">
      <w:pPr>
        <w:spacing w:before="240"/>
        <w:jc w:val="both"/>
      </w:pPr>
      <w:r w:rsidRPr="00C1362F">
        <w:rPr>
          <w:rFonts w:eastAsia="Arial"/>
          <w:b/>
          <w:bCs/>
          <w:sz w:val="24"/>
        </w:rPr>
        <w:t>Figure 5.</w:t>
      </w:r>
      <w:r w:rsidRPr="00C1362F">
        <w:rPr>
          <w:rFonts w:eastAsia="Arial"/>
          <w:sz w:val="24"/>
        </w:rPr>
        <w:t xml:space="preserve"> </w:t>
      </w:r>
      <w:r>
        <w:rPr>
          <w:rFonts w:eastAsia="Arial"/>
          <w:sz w:val="24"/>
        </w:rPr>
        <w:t>N</w:t>
      </w:r>
      <w:r w:rsidRPr="00C1362F">
        <w:rPr>
          <w:rFonts w:eastAsia="Arial"/>
          <w:sz w:val="24"/>
        </w:rPr>
        <w:t>et ecosystem exchange (NEE) model performance shown as coefficient of determination (R</w:t>
      </w:r>
      <w:r w:rsidRPr="00C1362F">
        <w:rPr>
          <w:rFonts w:eastAsia="Arial"/>
          <w:sz w:val="24"/>
          <w:vertAlign w:val="superscript"/>
        </w:rPr>
        <w:t>2</w:t>
      </w:r>
      <w:r w:rsidRPr="00C1362F">
        <w:rPr>
          <w:rFonts w:eastAsia="Arial"/>
          <w:sz w:val="24"/>
        </w:rPr>
        <w:t>), root mean square error (RMSE</w:t>
      </w:r>
      <w:r>
        <w:rPr>
          <w:rFonts w:eastAsia="Arial"/>
          <w:sz w:val="24"/>
        </w:rPr>
        <w:t xml:space="preserve">, </w:t>
      </w:r>
      <w:r w:rsidRPr="00C1362F">
        <w:rPr>
          <w:rFonts w:eastAsia="Arial"/>
          <w:sz w:val="24"/>
        </w:rPr>
        <w:t>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and mean bias error (MBE</w:t>
      </w:r>
      <w:r>
        <w:rPr>
          <w:rFonts w:eastAsia="Arial"/>
          <w:sz w:val="24"/>
        </w:rPr>
        <w:t xml:space="preserve">, </w:t>
      </w:r>
      <w:r w:rsidRPr="00C1362F">
        <w:rPr>
          <w:rFonts w:eastAsia="Arial"/>
          <w:sz w:val="24"/>
        </w:rPr>
        <w:t>C m</w:t>
      </w:r>
      <w:r w:rsidRPr="00C1362F">
        <w:rPr>
          <w:rFonts w:eastAsia="Arial"/>
          <w:sz w:val="24"/>
          <w:vertAlign w:val="superscript"/>
        </w:rPr>
        <w:t>-2</w:t>
      </w:r>
      <w:r w:rsidRPr="00C1362F">
        <w:rPr>
          <w:rFonts w:eastAsia="Arial"/>
          <w:sz w:val="24"/>
        </w:rPr>
        <w:t xml:space="preserve"> day</w:t>
      </w:r>
      <w:r w:rsidRPr="00C1362F">
        <w:rPr>
          <w:rFonts w:eastAsia="Arial"/>
          <w:sz w:val="24"/>
          <w:vertAlign w:val="superscript"/>
        </w:rPr>
        <w:t>-1</w:t>
      </w:r>
      <w:r w:rsidRPr="00C1362F">
        <w:rPr>
          <w:rFonts w:eastAsia="Arial"/>
          <w:sz w:val="24"/>
        </w:rPr>
        <w:t xml:space="preserve">) for different </w:t>
      </w:r>
      <w:r w:rsidR="005B0B29">
        <w:rPr>
          <w:rFonts w:eastAsia="Arial"/>
          <w:sz w:val="24"/>
        </w:rPr>
        <w:t>vegetation classes</w:t>
      </w:r>
      <w:r w:rsidRPr="00C1362F">
        <w:rPr>
          <w:rFonts w:eastAsia="Arial"/>
          <w:sz w:val="24"/>
        </w:rPr>
        <w:t xml:space="preserve"> including (</w:t>
      </w:r>
      <w:r w:rsidR="00DA32CC">
        <w:rPr>
          <w:rFonts w:eastAsia="Arial"/>
          <w:sz w:val="24"/>
        </w:rPr>
        <w:t>a</w:t>
      </w:r>
      <w:r w:rsidRPr="00C1362F">
        <w:rPr>
          <w:rFonts w:eastAsia="Arial"/>
          <w:sz w:val="24"/>
        </w:rPr>
        <w:t>) perennial and/or annual grass, (</w:t>
      </w:r>
      <w:r w:rsidR="00DA32CC">
        <w:rPr>
          <w:rFonts w:eastAsia="Arial"/>
          <w:sz w:val="24"/>
        </w:rPr>
        <w:t>b</w:t>
      </w:r>
      <w:r w:rsidRPr="00C1362F">
        <w:rPr>
          <w:rFonts w:eastAsia="Arial"/>
          <w:sz w:val="24"/>
        </w:rPr>
        <w:t>) managed hay and pasture, (</w:t>
      </w:r>
      <w:r w:rsidR="00DA32CC">
        <w:rPr>
          <w:rFonts w:eastAsia="Arial"/>
          <w:sz w:val="24"/>
        </w:rPr>
        <w:t>c</w:t>
      </w:r>
      <w:r w:rsidRPr="00C1362F">
        <w:rPr>
          <w:rFonts w:eastAsia="Arial"/>
          <w:sz w:val="24"/>
        </w:rPr>
        <w:t>) mixture of grass and shrub, and (</w:t>
      </w:r>
      <w:r w:rsidR="00DA32CC">
        <w:rPr>
          <w:rFonts w:eastAsia="Arial"/>
          <w:sz w:val="24"/>
        </w:rPr>
        <w:t>d</w:t>
      </w:r>
      <w:r w:rsidRPr="00C1362F">
        <w:rPr>
          <w:rFonts w:eastAsia="Arial"/>
          <w:sz w:val="24"/>
        </w:rPr>
        <w:t xml:space="preserve">) mixture of grass and tree classes. </w:t>
      </w:r>
      <w:bookmarkStart w:id="14" w:name="_Hlk157685854"/>
      <w:r>
        <w:rPr>
          <w:rFonts w:eastAsia="Arial"/>
          <w:sz w:val="24"/>
        </w:rPr>
        <w:t xml:space="preserve">Positive NEE sign denotes ecosystem </w:t>
      </w:r>
      <w:r w:rsidR="000D71E4">
        <w:rPr>
          <w:rFonts w:eastAsia="Arial"/>
          <w:sz w:val="24"/>
        </w:rPr>
        <w:t>carbon</w:t>
      </w:r>
      <w:r>
        <w:rPr>
          <w:rFonts w:eastAsia="Arial"/>
          <w:sz w:val="24"/>
        </w:rPr>
        <w:t xml:space="preserve"> sink activity. </w:t>
      </w:r>
      <w:bookmarkEnd w:id="14"/>
      <w:r w:rsidRPr="00C1362F">
        <w:rPr>
          <w:rFonts w:eastAsia="Arial"/>
          <w:sz w:val="24"/>
        </w:rPr>
        <w:t xml:space="preserve">Both model fits and leave-one-out-cross-validation (LOOCV) results </w:t>
      </w:r>
      <w:r>
        <w:rPr>
          <w:rFonts w:eastAsia="Arial"/>
          <w:sz w:val="24"/>
        </w:rPr>
        <w:t>are</w:t>
      </w:r>
      <w:r w:rsidRPr="00C1362F">
        <w:rPr>
          <w:rFonts w:eastAsia="Arial"/>
          <w:sz w:val="24"/>
        </w:rPr>
        <w:t xml:space="preserve"> presented. Different colors represent different Ameriflux/NEON study sites. </w:t>
      </w:r>
    </w:p>
    <w:p w14:paraId="6C64203A" w14:textId="77777777" w:rsidR="00E77D36" w:rsidRPr="00C1362F" w:rsidRDefault="00E77D36" w:rsidP="00E77D36">
      <w:pPr>
        <w:spacing w:before="120"/>
        <w:jc w:val="both"/>
        <w:rPr>
          <w:rFonts w:eastAsia="Arial"/>
          <w:sz w:val="24"/>
        </w:rPr>
      </w:pPr>
    </w:p>
    <w:p w14:paraId="58354728" w14:textId="778FDBBC" w:rsidR="00E77D36" w:rsidRPr="00C1362F" w:rsidRDefault="00E77D36" w:rsidP="005B0B29">
      <w:pPr>
        <w:spacing w:before="120"/>
        <w:ind w:firstLine="720"/>
        <w:jc w:val="both"/>
      </w:pPr>
      <w:r w:rsidRPr="00C1362F">
        <w:rPr>
          <w:rFonts w:eastAsia="Arial"/>
          <w:sz w:val="24"/>
        </w:rPr>
        <w:t xml:space="preserve">The model fit was also observed to be better for the growing season than for winter NEE estimates, with the exception of </w:t>
      </w:r>
      <w:r w:rsidRPr="00C1362F">
        <w:rPr>
          <w:rFonts w:eastAsia="SimSun"/>
          <w:bCs/>
          <w:sz w:val="24"/>
          <w:szCs w:val="24"/>
        </w:rPr>
        <w:t>grass-tree mixture</w:t>
      </w:r>
      <w:r w:rsidRPr="00C1362F">
        <w:rPr>
          <w:rFonts w:eastAsia="Arial"/>
          <w:sz w:val="24"/>
        </w:rPr>
        <w:t xml:space="preserve"> sites (Fig. 4</w:t>
      </w:r>
      <w:r w:rsidR="005B0B29">
        <w:rPr>
          <w:rFonts w:eastAsia="Arial"/>
          <w:sz w:val="24"/>
        </w:rPr>
        <w:t>b</w:t>
      </w:r>
      <w:r w:rsidRPr="00C1362F">
        <w:rPr>
          <w:rFonts w:eastAsia="Arial"/>
          <w:sz w:val="24"/>
        </w:rPr>
        <w:t>). Like GPP, model RMSE was higher for the growing season than for winter NEE (Fig. 4</w:t>
      </w:r>
      <w:r w:rsidR="005B0B29">
        <w:rPr>
          <w:rFonts w:eastAsia="Arial"/>
          <w:sz w:val="24"/>
        </w:rPr>
        <w:t>d</w:t>
      </w:r>
      <w:r w:rsidRPr="00C1362F">
        <w:rPr>
          <w:rFonts w:eastAsia="Arial"/>
          <w:sz w:val="24"/>
        </w:rPr>
        <w:t xml:space="preserve">). Even though the RCTM system showed limited success in estimating daily NEE flux (Fig. 5), the model performance was </w:t>
      </w:r>
      <w:r>
        <w:rPr>
          <w:rFonts w:eastAsia="Arial"/>
          <w:sz w:val="24"/>
        </w:rPr>
        <w:t>better</w:t>
      </w:r>
      <w:r w:rsidRPr="00C1362F">
        <w:rPr>
          <w:rFonts w:eastAsia="Arial"/>
          <w:sz w:val="24"/>
        </w:rPr>
        <w:t xml:space="preserve"> for estimating monthly (R</w:t>
      </w:r>
      <w:r w:rsidRPr="00C1362F">
        <w:rPr>
          <w:rFonts w:eastAsia="Arial"/>
          <w:sz w:val="24"/>
          <w:vertAlign w:val="superscript"/>
        </w:rPr>
        <w:t>2</w:t>
      </w:r>
      <w:r w:rsidRPr="00C1362F">
        <w:rPr>
          <w:rFonts w:eastAsia="Arial"/>
          <w:sz w:val="24"/>
        </w:rPr>
        <w:t xml:space="preserve"> between 0.4 and 0.6), growing season cumulative (R</w:t>
      </w:r>
      <w:r w:rsidRPr="00C1362F">
        <w:rPr>
          <w:rFonts w:eastAsia="Arial"/>
          <w:sz w:val="24"/>
          <w:vertAlign w:val="superscript"/>
        </w:rPr>
        <w:t>2</w:t>
      </w:r>
      <w:r w:rsidRPr="00C1362F">
        <w:rPr>
          <w:rFonts w:eastAsia="Arial"/>
          <w:sz w:val="24"/>
        </w:rPr>
        <w:t xml:space="preserve"> between 0.4 and 0.7), or annual cumulative (R</w:t>
      </w:r>
      <w:r w:rsidRPr="00C1362F">
        <w:rPr>
          <w:rFonts w:eastAsia="Arial"/>
          <w:sz w:val="24"/>
          <w:vertAlign w:val="superscript"/>
        </w:rPr>
        <w:t>2</w:t>
      </w:r>
      <w:r w:rsidRPr="00C1362F">
        <w:rPr>
          <w:rFonts w:eastAsia="Arial"/>
          <w:sz w:val="24"/>
        </w:rPr>
        <w:t xml:space="preserve"> between 0.4 and 0.7) NEE fluxes (Table 2). </w:t>
      </w:r>
      <w:r>
        <w:rPr>
          <w:rFonts w:eastAsia="Arial"/>
          <w:sz w:val="24"/>
        </w:rPr>
        <w:t xml:space="preserve">It is anticipated that the model performance was lower for NEE than for GPP or RECO considering that the model structure for estimating NEE is subject to uncertainty in simulating both grassland production and respiration, and that GPP and RECO might not have equivalent responses to climate conditions such as soil moisture and temperature (Table 3). </w:t>
      </w:r>
      <w:r w:rsidRPr="00C1362F">
        <w:rPr>
          <w:rFonts w:eastAsia="Arial"/>
          <w:sz w:val="24"/>
        </w:rPr>
        <w:t xml:space="preserve">Regardless of the temporal resolution (i.e., daily or cumulative) used for model performance evaluation, </w:t>
      </w:r>
      <w:r>
        <w:rPr>
          <w:rFonts w:eastAsia="Arial"/>
          <w:sz w:val="24"/>
        </w:rPr>
        <w:t xml:space="preserve">the </w:t>
      </w:r>
      <w:r w:rsidRPr="00C1362F">
        <w:rPr>
          <w:rFonts w:eastAsia="Arial"/>
          <w:sz w:val="24"/>
        </w:rPr>
        <w:t xml:space="preserve">RCTM performed consistently better for </w:t>
      </w:r>
      <w:r w:rsidRPr="00C1362F">
        <w:rPr>
          <w:rFonts w:eastAsia="SimSun"/>
          <w:bCs/>
          <w:sz w:val="24"/>
          <w:szCs w:val="24"/>
        </w:rPr>
        <w:t>grass-shrub mixture</w:t>
      </w:r>
      <w:r w:rsidRPr="00C1362F">
        <w:rPr>
          <w:rFonts w:eastAsia="Arial"/>
          <w:sz w:val="24"/>
        </w:rPr>
        <w:t xml:space="preserve"> sites. </w:t>
      </w:r>
    </w:p>
    <w:p w14:paraId="0EF7AD90" w14:textId="70398B42" w:rsidR="00E77D36" w:rsidRPr="00C1362F" w:rsidRDefault="00E77D36" w:rsidP="005B0B29">
      <w:pPr>
        <w:spacing w:before="120"/>
        <w:ind w:firstLine="720"/>
        <w:jc w:val="both"/>
        <w:rPr>
          <w:rFonts w:eastAsia="Arial"/>
          <w:sz w:val="24"/>
        </w:rPr>
      </w:pPr>
      <w:r w:rsidRPr="00C1362F">
        <w:rPr>
          <w:rFonts w:eastAsia="Arial"/>
          <w:sz w:val="24"/>
        </w:rPr>
        <w:lastRenderedPageBreak/>
        <w:t>The model</w:t>
      </w:r>
      <w:r>
        <w:rPr>
          <w:rFonts w:eastAsia="Arial"/>
          <w:sz w:val="24"/>
        </w:rPr>
        <w:t>-</w:t>
      </w:r>
      <w:r w:rsidRPr="00C1362F">
        <w:rPr>
          <w:rFonts w:eastAsia="Arial"/>
          <w:sz w:val="24"/>
        </w:rPr>
        <w:t xml:space="preserve">simulated surface SOC stocks agreed well with SOC measurements from NEON sites </w:t>
      </w:r>
      <w:r>
        <w:rPr>
          <w:rFonts w:eastAsia="Arial"/>
          <w:sz w:val="24"/>
        </w:rPr>
        <w:t xml:space="preserve">in terms of the ranking of the spatial dataset </w:t>
      </w:r>
      <w:r w:rsidRPr="00C1362F">
        <w:rPr>
          <w:rFonts w:eastAsia="Arial"/>
          <w:sz w:val="24"/>
        </w:rPr>
        <w:t>(R</w:t>
      </w:r>
      <w:r w:rsidRPr="00C1362F">
        <w:rPr>
          <w:rFonts w:eastAsia="Arial"/>
          <w:sz w:val="24"/>
          <w:vertAlign w:val="superscript"/>
        </w:rPr>
        <w:t>2</w:t>
      </w:r>
      <w:r w:rsidRPr="00C1362F">
        <w:rPr>
          <w:rFonts w:eastAsia="Arial"/>
          <w:sz w:val="24"/>
        </w:rPr>
        <w:t xml:space="preserve"> = 0.58, Fig. 6). </w:t>
      </w:r>
      <w:r>
        <w:rPr>
          <w:rFonts w:eastAsia="Arial"/>
          <w:sz w:val="24"/>
        </w:rPr>
        <w:t>However, t</w:t>
      </w:r>
      <w:r w:rsidRPr="00C1362F">
        <w:rPr>
          <w:rFonts w:eastAsia="Arial"/>
          <w:sz w:val="24"/>
        </w:rPr>
        <w:t>he model simulation results were higher than observed</w:t>
      </w:r>
      <w:r>
        <w:rPr>
          <w:rFonts w:eastAsia="Arial"/>
          <w:sz w:val="24"/>
        </w:rPr>
        <w:t xml:space="preserve"> 0-30 cm SOC stocks (MBE = -2535 </w:t>
      </w:r>
      <w:r w:rsidRPr="00C1362F">
        <w:rPr>
          <w:rFonts w:eastAsia="Arial"/>
          <w:sz w:val="24"/>
        </w:rPr>
        <w:t>g m</w:t>
      </w:r>
      <w:r w:rsidRPr="00C1362F">
        <w:rPr>
          <w:rFonts w:eastAsia="Arial"/>
          <w:sz w:val="24"/>
          <w:vertAlign w:val="superscript"/>
        </w:rPr>
        <w:t>-2</w:t>
      </w:r>
      <w:r>
        <w:rPr>
          <w:rFonts w:eastAsia="Arial"/>
          <w:sz w:val="24"/>
        </w:rPr>
        <w:t xml:space="preserve">). This </w:t>
      </w:r>
      <w:r w:rsidRPr="00C1362F">
        <w:rPr>
          <w:rFonts w:eastAsia="Arial"/>
          <w:sz w:val="24"/>
        </w:rPr>
        <w:t xml:space="preserve">is </w:t>
      </w:r>
      <w:r>
        <w:rPr>
          <w:rFonts w:eastAsia="Arial"/>
          <w:sz w:val="24"/>
        </w:rPr>
        <w:t xml:space="preserve">likely </w:t>
      </w:r>
      <w:r w:rsidRPr="00C1362F">
        <w:rPr>
          <w:rFonts w:eastAsia="Arial"/>
          <w:sz w:val="24"/>
        </w:rPr>
        <w:t xml:space="preserve">because RCTM inputs are not restricted to a specific depth layer (e.g., 30 cm) but are instead reflective of the integrated plant productivity signals due to the use of GPP and NEE data for model calibration. </w:t>
      </w:r>
      <w:r>
        <w:rPr>
          <w:rFonts w:eastAsia="Arial"/>
          <w:sz w:val="24"/>
        </w:rPr>
        <w:t>However, the RCTM simulated SOC stocks were significantly lower than those observed from the 0-100 cm depth (MBE</w:t>
      </w:r>
      <w:r w:rsidRPr="00C1362F">
        <w:rPr>
          <w:rFonts w:eastAsia="Arial"/>
          <w:sz w:val="24"/>
        </w:rPr>
        <w:t xml:space="preserve"> = </w:t>
      </w:r>
      <w:r>
        <w:rPr>
          <w:rFonts w:eastAsia="Arial"/>
          <w:sz w:val="24"/>
        </w:rPr>
        <w:t>7293</w:t>
      </w:r>
      <w:r w:rsidRPr="00C1362F">
        <w:rPr>
          <w:rFonts w:eastAsia="Arial"/>
          <w:sz w:val="24"/>
        </w:rPr>
        <w:t xml:space="preserve"> g m</w:t>
      </w:r>
      <w:r w:rsidRPr="00C1362F">
        <w:rPr>
          <w:rFonts w:eastAsia="Arial"/>
          <w:sz w:val="24"/>
          <w:vertAlign w:val="superscript"/>
        </w:rPr>
        <w:t>-2</w:t>
      </w:r>
      <w:r w:rsidRPr="009424B8">
        <w:rPr>
          <w:rFonts w:eastAsia="Arial"/>
          <w:sz w:val="24"/>
        </w:rPr>
        <w:t>,</w:t>
      </w:r>
      <w:r>
        <w:rPr>
          <w:rFonts w:eastAsia="Arial"/>
          <w:sz w:val="24"/>
        </w:rPr>
        <w:t xml:space="preserve"> SI: Fig C3</w:t>
      </w:r>
      <w:r w:rsidR="005B0B29">
        <w:rPr>
          <w:rFonts w:eastAsia="Arial"/>
          <w:sz w:val="24"/>
        </w:rPr>
        <w:t>b</w:t>
      </w:r>
      <w:r>
        <w:rPr>
          <w:rFonts w:eastAsia="Arial"/>
          <w:sz w:val="24"/>
        </w:rPr>
        <w:t xml:space="preserve">), meaning that SOC stocks from 0-100 cm were too deep for RCTM to capture. </w:t>
      </w:r>
    </w:p>
    <w:p w14:paraId="4ECA3398" w14:textId="77777777" w:rsidR="00E77D36" w:rsidRPr="00C1362F" w:rsidRDefault="00E77D36" w:rsidP="00E77D36">
      <w:pPr>
        <w:spacing w:before="120"/>
        <w:jc w:val="center"/>
      </w:pPr>
      <w:bookmarkStart w:id="15" w:name="_Hlk152854590"/>
      <w:r>
        <w:rPr>
          <w:noProof/>
        </w:rPr>
        <w:drawing>
          <wp:inline distT="0" distB="0" distL="0" distR="0" wp14:anchorId="5C1F9D3C" wp14:editId="55CEE1D1">
            <wp:extent cx="4979219" cy="3901627"/>
            <wp:effectExtent l="0" t="0" r="0" b="3810"/>
            <wp:docPr id="1167917851" name="Picture 1" descr="A graph of numbers and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917851" name="Picture 1" descr="A graph of numbers and letters&#10;&#10;Description automatically generated"/>
                    <pic:cNvPicPr>
                      <a:picLocks noChangeAspect="1" noChangeArrowheads="1"/>
                    </pic:cNvPicPr>
                  </pic:nvPicPr>
                  <pic:blipFill rotWithShape="1">
                    <a:blip r:embed="rId16">
                      <a:extLst>
                        <a:ext uri="{28A0092B-C50C-407E-A947-70E740481C1C}">
                          <a14:useLocalDpi xmlns:a14="http://schemas.microsoft.com/office/drawing/2010/main"/>
                        </a:ext>
                      </a:extLst>
                    </a:blip>
                    <a:srcRect l="2246" t="8938" r="11765" b="3073"/>
                    <a:stretch/>
                  </pic:blipFill>
                  <pic:spPr bwMode="auto">
                    <a:xfrm>
                      <a:off x="0" y="0"/>
                      <a:ext cx="5044012" cy="3952397"/>
                    </a:xfrm>
                    <a:prstGeom prst="rect">
                      <a:avLst/>
                    </a:prstGeom>
                    <a:noFill/>
                    <a:ln>
                      <a:noFill/>
                    </a:ln>
                    <a:extLst>
                      <a:ext uri="{53640926-AAD7-44D8-BBD7-CCE9431645EC}">
                        <a14:shadowObscured xmlns:a14="http://schemas.microsoft.com/office/drawing/2010/main"/>
                      </a:ext>
                    </a:extLst>
                  </pic:spPr>
                </pic:pic>
              </a:graphicData>
            </a:graphic>
          </wp:inline>
        </w:drawing>
      </w:r>
    </w:p>
    <w:p w14:paraId="3E2A3698" w14:textId="77777777" w:rsidR="00E77D36" w:rsidRPr="00C1362F" w:rsidRDefault="00E77D36" w:rsidP="005B0B29">
      <w:pPr>
        <w:spacing w:before="240"/>
        <w:jc w:val="both"/>
        <w:rPr>
          <w:rFonts w:eastAsia="Arial"/>
          <w:sz w:val="24"/>
        </w:rPr>
      </w:pPr>
      <w:r w:rsidRPr="00C1362F">
        <w:rPr>
          <w:rFonts w:eastAsia="Arial"/>
          <w:b/>
          <w:bCs/>
          <w:sz w:val="24"/>
        </w:rPr>
        <w:t>Figure 6.</w:t>
      </w:r>
      <w:r w:rsidRPr="00C1362F">
        <w:rPr>
          <w:rFonts w:eastAsia="Arial"/>
          <w:sz w:val="24"/>
        </w:rPr>
        <w:t xml:space="preserve"> The model performance for estimating surface soil organic carbon (SOC) stocks for NEON grassland sites using calibrated Rangeland Carbon Tracking and Monitoring (RCTM) system. </w:t>
      </w:r>
    </w:p>
    <w:bookmarkEnd w:id="15"/>
    <w:p w14:paraId="747D4007" w14:textId="77777777" w:rsidR="00E77D36" w:rsidRPr="00C1362F" w:rsidRDefault="00E77D36" w:rsidP="00E77D36">
      <w:pPr>
        <w:spacing w:before="120"/>
      </w:pPr>
    </w:p>
    <w:p w14:paraId="040E5272" w14:textId="52F8B2C7" w:rsidR="00E77D36" w:rsidRPr="00C1362F" w:rsidRDefault="00E77D36" w:rsidP="005B0B29">
      <w:pPr>
        <w:pStyle w:val="Heading-Secondary"/>
      </w:pPr>
      <w:r w:rsidRPr="00C1362F">
        <w:t xml:space="preserve">3.3 Rangeland C </w:t>
      </w:r>
      <w:r w:rsidR="005B0B29">
        <w:t>d</w:t>
      </w:r>
      <w:r w:rsidRPr="00C1362F">
        <w:t xml:space="preserve">ynamics </w:t>
      </w:r>
      <w:r w:rsidR="005B0B29">
        <w:t>i</w:t>
      </w:r>
      <w:r w:rsidRPr="00C1362F">
        <w:t xml:space="preserve">nfluenced by </w:t>
      </w:r>
      <w:r w:rsidR="005B0B29">
        <w:t>s</w:t>
      </w:r>
      <w:r w:rsidRPr="00C1362F">
        <w:t xml:space="preserve">ite and </w:t>
      </w:r>
      <w:r w:rsidR="005B0B29">
        <w:t>e</w:t>
      </w:r>
      <w:r w:rsidRPr="00C1362F">
        <w:t xml:space="preserve">nvironmental </w:t>
      </w:r>
      <w:r w:rsidR="005B0B29">
        <w:t>f</w:t>
      </w:r>
      <w:r w:rsidRPr="00C1362F">
        <w:t xml:space="preserve">actors </w:t>
      </w:r>
    </w:p>
    <w:p w14:paraId="347D834E" w14:textId="77777777" w:rsidR="00E77D36" w:rsidRPr="00C1362F" w:rsidRDefault="00E77D36" w:rsidP="005B0B29">
      <w:pPr>
        <w:spacing w:before="120"/>
        <w:ind w:firstLine="720"/>
        <w:jc w:val="both"/>
        <w:rPr>
          <w:rFonts w:eastAsia="Arial"/>
          <w:sz w:val="24"/>
        </w:rPr>
      </w:pPr>
      <w:r w:rsidRPr="00C1362F">
        <w:rPr>
          <w:rFonts w:eastAsia="Arial"/>
          <w:sz w:val="24"/>
        </w:rPr>
        <w:t xml:space="preserve">The RCTM simulated annual cumulative GPP was strongly correlated with both surface (R = 0.7) and root zone soil moisture (R = 0.8), VPD (R = -0.4), and fPAR (R = 0.9) (Table 3). Strong correlations were observed between simulated annual average SOC and VPD (R = -0.4), soil temperature (R = -0.4), and fPAR (R = 0.6). The RCTM simulation also suggested significant correlations between RECO and all of </w:t>
      </w:r>
      <w:r>
        <w:rPr>
          <w:rFonts w:eastAsia="Arial"/>
          <w:sz w:val="24"/>
        </w:rPr>
        <w:t xml:space="preserve">the </w:t>
      </w:r>
      <w:r w:rsidRPr="00C1362F">
        <w:rPr>
          <w:rFonts w:eastAsia="Arial"/>
          <w:sz w:val="24"/>
        </w:rPr>
        <w:t xml:space="preserve">input </w:t>
      </w:r>
      <w:r>
        <w:rPr>
          <w:rFonts w:eastAsia="Arial"/>
          <w:sz w:val="24"/>
        </w:rPr>
        <w:t>variables</w:t>
      </w:r>
      <w:r w:rsidRPr="00C1362F">
        <w:rPr>
          <w:rFonts w:eastAsia="Arial"/>
          <w:sz w:val="24"/>
        </w:rPr>
        <w:t xml:space="preserve"> investigated (</w:t>
      </w:r>
      <w:r w:rsidRPr="00C1362F">
        <w:rPr>
          <w:rFonts w:eastAsia="Arial"/>
          <w:i/>
          <w:iCs/>
          <w:sz w:val="24"/>
        </w:rPr>
        <w:t>P</w:t>
      </w:r>
      <w:r w:rsidRPr="00C1362F">
        <w:rPr>
          <w:rFonts w:eastAsia="Arial"/>
          <w:sz w:val="24"/>
        </w:rPr>
        <w:t xml:space="preserve"> &lt; 0.05). The annual cumulative NEE was less correlated with environmental </w:t>
      </w:r>
      <w:r>
        <w:rPr>
          <w:rFonts w:eastAsia="Arial"/>
          <w:sz w:val="24"/>
        </w:rPr>
        <w:t>variables</w:t>
      </w:r>
      <w:r w:rsidRPr="00C1362F">
        <w:rPr>
          <w:rFonts w:eastAsia="Arial"/>
          <w:sz w:val="24"/>
        </w:rPr>
        <w:t xml:space="preserve"> used in the model (R &lt; 0.2)</w:t>
      </w:r>
      <w:r>
        <w:rPr>
          <w:rFonts w:eastAsia="Arial"/>
          <w:sz w:val="24"/>
        </w:rPr>
        <w:t>, which might be explained by the close to steady-state conditions of the sites</w:t>
      </w:r>
      <w:r w:rsidRPr="00C1362F">
        <w:rPr>
          <w:rFonts w:eastAsia="Arial"/>
          <w:sz w:val="24"/>
        </w:rPr>
        <w:t>. As expected, model</w:t>
      </w:r>
      <w:r>
        <w:rPr>
          <w:rFonts w:eastAsia="Arial"/>
          <w:sz w:val="24"/>
        </w:rPr>
        <w:t>-</w:t>
      </w:r>
      <w:r w:rsidRPr="00C1362F">
        <w:rPr>
          <w:rFonts w:eastAsia="Arial"/>
          <w:sz w:val="24"/>
        </w:rPr>
        <w:t>simulated SOC was significantly correlated with both GPP and RECO (</w:t>
      </w:r>
      <w:r w:rsidRPr="00C1362F">
        <w:rPr>
          <w:rFonts w:eastAsia="Arial"/>
          <w:i/>
          <w:iCs/>
          <w:sz w:val="24"/>
        </w:rPr>
        <w:t>P</w:t>
      </w:r>
      <w:r w:rsidRPr="00C1362F">
        <w:rPr>
          <w:rFonts w:eastAsia="Arial"/>
          <w:sz w:val="24"/>
        </w:rPr>
        <w:t xml:space="preserve"> &lt; 0.05).</w:t>
      </w:r>
    </w:p>
    <w:p w14:paraId="4E232166" w14:textId="77777777" w:rsidR="00E77D36" w:rsidRPr="00C1362F" w:rsidRDefault="00E77D36" w:rsidP="008A5615">
      <w:pPr>
        <w:spacing w:before="240"/>
        <w:jc w:val="both"/>
        <w:rPr>
          <w:rFonts w:eastAsia="Arial"/>
          <w:sz w:val="24"/>
        </w:rPr>
      </w:pPr>
      <w:r w:rsidRPr="00C1362F">
        <w:rPr>
          <w:rFonts w:eastAsia="Arial"/>
          <w:b/>
          <w:bCs/>
          <w:sz w:val="24"/>
        </w:rPr>
        <w:lastRenderedPageBreak/>
        <w:t>Table 3.</w:t>
      </w:r>
      <w:r w:rsidRPr="00C1362F">
        <w:rPr>
          <w:rFonts w:eastAsia="Arial"/>
          <w:sz w:val="24"/>
        </w:rPr>
        <w:t xml:space="preserve"> Correlation among model estimated annual cumulative net ecosystem exchange (NEE), gross primary productivity (GPP), ecosystem respiration (RECO), annual average soil organic carbon (SOC) stocks, and </w:t>
      </w:r>
      <w:r>
        <w:rPr>
          <w:rFonts w:eastAsia="Arial"/>
          <w:sz w:val="24"/>
        </w:rPr>
        <w:t>model input variables</w:t>
      </w:r>
      <w:r w:rsidRPr="00C1362F">
        <w:rPr>
          <w:rFonts w:eastAsia="Arial"/>
          <w:sz w:val="24"/>
        </w:rPr>
        <w:t xml:space="preserve"> including 0-5 cm soil moisture (SWC_sf), root zone soil moisture (SWC_rt), vapor pressure deficit (VPD), 0-5 cm soil temperature (ST), clay content (Clay), and </w:t>
      </w:r>
      <w:bookmarkStart w:id="16" w:name="_Hlk152253444"/>
      <w:r w:rsidRPr="00C1362F">
        <w:rPr>
          <w:rFonts w:eastAsia="Arial"/>
          <w:sz w:val="24"/>
        </w:rPr>
        <w:t>fraction of absorbed photosynthetically active radiation (fPAR)</w:t>
      </w:r>
      <w:bookmarkEnd w:id="16"/>
      <w:r w:rsidRPr="00C1362F">
        <w:rPr>
          <w:rFonts w:eastAsia="Arial"/>
          <w:sz w:val="24"/>
        </w:rPr>
        <w:t>.</w:t>
      </w:r>
    </w:p>
    <w:tbl>
      <w:tblPr>
        <w:tblStyle w:val="TableGrid"/>
        <w:tblW w:w="0" w:type="auto"/>
        <w:jc w:val="center"/>
        <w:tblBorders>
          <w:top w:val="single" w:sz="12" w:space="0" w:color="auto"/>
          <w:left w:val="none" w:sz="0" w:space="0" w:color="auto"/>
          <w:bottom w:val="single" w:sz="12" w:space="0" w:color="auto"/>
          <w:right w:val="none" w:sz="0" w:space="0" w:color="auto"/>
          <w:insideH w:val="none" w:sz="0" w:space="0" w:color="auto"/>
          <w:insideV w:val="none" w:sz="0" w:space="0" w:color="auto"/>
        </w:tblBorders>
        <w:tblLook w:val="04A0" w:firstRow="1" w:lastRow="0" w:firstColumn="1" w:lastColumn="0" w:noHBand="0" w:noVBand="1"/>
      </w:tblPr>
      <w:tblGrid>
        <w:gridCol w:w="930"/>
        <w:gridCol w:w="835"/>
        <w:gridCol w:w="834"/>
        <w:gridCol w:w="750"/>
        <w:gridCol w:w="833"/>
        <w:gridCol w:w="1002"/>
        <w:gridCol w:w="995"/>
        <w:gridCol w:w="756"/>
        <w:gridCol w:w="789"/>
        <w:gridCol w:w="821"/>
        <w:gridCol w:w="815"/>
      </w:tblGrid>
      <w:tr w:rsidR="00E77D36" w:rsidRPr="00C1362F" w14:paraId="73FDE824" w14:textId="77777777" w:rsidTr="000D368A">
        <w:trPr>
          <w:jc w:val="center"/>
        </w:trPr>
        <w:tc>
          <w:tcPr>
            <w:tcW w:w="932" w:type="dxa"/>
            <w:tcBorders>
              <w:top w:val="single" w:sz="12" w:space="0" w:color="auto"/>
              <w:bottom w:val="single" w:sz="4" w:space="0" w:color="auto"/>
            </w:tcBorders>
            <w:vAlign w:val="center"/>
          </w:tcPr>
          <w:p w14:paraId="34C52CA2" w14:textId="77777777" w:rsidR="00E77D36" w:rsidRPr="00C1362F" w:rsidRDefault="00E77D36" w:rsidP="005B0B29">
            <w:pPr>
              <w:jc w:val="center"/>
            </w:pPr>
            <w:bookmarkStart w:id="17" w:name="_Hlk151985520"/>
          </w:p>
        </w:tc>
        <w:tc>
          <w:tcPr>
            <w:tcW w:w="840" w:type="dxa"/>
            <w:tcBorders>
              <w:top w:val="single" w:sz="12" w:space="0" w:color="auto"/>
              <w:bottom w:val="single" w:sz="4" w:space="0" w:color="auto"/>
            </w:tcBorders>
            <w:vAlign w:val="center"/>
          </w:tcPr>
          <w:p w14:paraId="0B4E0FE2" w14:textId="77777777" w:rsidR="00E77D36" w:rsidRPr="00C1362F" w:rsidRDefault="00E77D36" w:rsidP="005B0B29">
            <w:pPr>
              <w:jc w:val="center"/>
            </w:pPr>
            <w:r w:rsidRPr="00C1362F">
              <w:t>NEE</w:t>
            </w:r>
          </w:p>
        </w:tc>
        <w:tc>
          <w:tcPr>
            <w:tcW w:w="838" w:type="dxa"/>
            <w:tcBorders>
              <w:top w:val="single" w:sz="12" w:space="0" w:color="auto"/>
              <w:bottom w:val="single" w:sz="4" w:space="0" w:color="auto"/>
            </w:tcBorders>
            <w:vAlign w:val="center"/>
          </w:tcPr>
          <w:p w14:paraId="4CC3FA16" w14:textId="77777777" w:rsidR="00E77D36" w:rsidRPr="00C1362F" w:rsidRDefault="00E77D36" w:rsidP="005B0B29">
            <w:pPr>
              <w:jc w:val="center"/>
            </w:pPr>
            <w:r w:rsidRPr="00C1362F">
              <w:t>GPP</w:t>
            </w:r>
          </w:p>
        </w:tc>
        <w:tc>
          <w:tcPr>
            <w:tcW w:w="711" w:type="dxa"/>
            <w:tcBorders>
              <w:top w:val="single" w:sz="12" w:space="0" w:color="auto"/>
              <w:bottom w:val="single" w:sz="4" w:space="0" w:color="auto"/>
            </w:tcBorders>
          </w:tcPr>
          <w:p w14:paraId="155E058C" w14:textId="77777777" w:rsidR="00E77D36" w:rsidRPr="00C1362F" w:rsidRDefault="00E77D36" w:rsidP="005B0B29">
            <w:pPr>
              <w:jc w:val="center"/>
            </w:pPr>
            <w:r w:rsidRPr="00C1362F">
              <w:t>RECO</w:t>
            </w:r>
          </w:p>
        </w:tc>
        <w:tc>
          <w:tcPr>
            <w:tcW w:w="838" w:type="dxa"/>
            <w:tcBorders>
              <w:top w:val="single" w:sz="12" w:space="0" w:color="auto"/>
              <w:bottom w:val="single" w:sz="4" w:space="0" w:color="auto"/>
            </w:tcBorders>
            <w:vAlign w:val="center"/>
          </w:tcPr>
          <w:p w14:paraId="53078062" w14:textId="77777777" w:rsidR="00E77D36" w:rsidRPr="00C1362F" w:rsidRDefault="00E77D36" w:rsidP="005B0B29">
            <w:pPr>
              <w:jc w:val="center"/>
            </w:pPr>
            <w:r w:rsidRPr="00C1362F">
              <w:t>SOC</w:t>
            </w:r>
          </w:p>
        </w:tc>
        <w:tc>
          <w:tcPr>
            <w:tcW w:w="1005" w:type="dxa"/>
            <w:tcBorders>
              <w:top w:val="single" w:sz="12" w:space="0" w:color="auto"/>
              <w:bottom w:val="single" w:sz="4" w:space="0" w:color="auto"/>
            </w:tcBorders>
            <w:vAlign w:val="center"/>
          </w:tcPr>
          <w:p w14:paraId="61D5161A" w14:textId="77777777" w:rsidR="00E77D36" w:rsidRPr="00C1362F" w:rsidRDefault="00E77D36" w:rsidP="005B0B29">
            <w:pPr>
              <w:jc w:val="center"/>
            </w:pPr>
            <w:r w:rsidRPr="00C1362F">
              <w:t>SWC_sf</w:t>
            </w:r>
          </w:p>
        </w:tc>
        <w:tc>
          <w:tcPr>
            <w:tcW w:w="998" w:type="dxa"/>
            <w:tcBorders>
              <w:top w:val="single" w:sz="12" w:space="0" w:color="auto"/>
              <w:bottom w:val="single" w:sz="4" w:space="0" w:color="auto"/>
            </w:tcBorders>
            <w:vAlign w:val="center"/>
          </w:tcPr>
          <w:p w14:paraId="46BDCFDE" w14:textId="77777777" w:rsidR="00E77D36" w:rsidRPr="00C1362F" w:rsidRDefault="00E77D36" w:rsidP="005B0B29">
            <w:pPr>
              <w:jc w:val="center"/>
            </w:pPr>
            <w:r w:rsidRPr="00C1362F">
              <w:t>SWC_rt</w:t>
            </w:r>
          </w:p>
        </w:tc>
        <w:tc>
          <w:tcPr>
            <w:tcW w:w="759" w:type="dxa"/>
            <w:tcBorders>
              <w:top w:val="single" w:sz="12" w:space="0" w:color="auto"/>
              <w:bottom w:val="single" w:sz="4" w:space="0" w:color="auto"/>
            </w:tcBorders>
            <w:vAlign w:val="center"/>
          </w:tcPr>
          <w:p w14:paraId="7ADC4B1E" w14:textId="77777777" w:rsidR="00E77D36" w:rsidRPr="00C1362F" w:rsidRDefault="00E77D36" w:rsidP="005B0B29">
            <w:pPr>
              <w:jc w:val="center"/>
            </w:pPr>
            <w:r w:rsidRPr="00C1362F">
              <w:t>VPD</w:t>
            </w:r>
          </w:p>
        </w:tc>
        <w:tc>
          <w:tcPr>
            <w:tcW w:w="793" w:type="dxa"/>
            <w:tcBorders>
              <w:top w:val="single" w:sz="12" w:space="0" w:color="auto"/>
              <w:bottom w:val="single" w:sz="4" w:space="0" w:color="auto"/>
            </w:tcBorders>
            <w:vAlign w:val="center"/>
          </w:tcPr>
          <w:p w14:paraId="703AA512" w14:textId="77777777" w:rsidR="00E77D36" w:rsidRPr="00C1362F" w:rsidRDefault="00E77D36" w:rsidP="005B0B29">
            <w:pPr>
              <w:jc w:val="center"/>
            </w:pPr>
            <w:r w:rsidRPr="00C1362F">
              <w:t>ST</w:t>
            </w:r>
          </w:p>
        </w:tc>
        <w:tc>
          <w:tcPr>
            <w:tcW w:w="827" w:type="dxa"/>
            <w:tcBorders>
              <w:top w:val="single" w:sz="12" w:space="0" w:color="auto"/>
              <w:bottom w:val="single" w:sz="4" w:space="0" w:color="auto"/>
            </w:tcBorders>
            <w:vAlign w:val="center"/>
          </w:tcPr>
          <w:p w14:paraId="14DBA864" w14:textId="77777777" w:rsidR="00E77D36" w:rsidRPr="00C1362F" w:rsidRDefault="00E77D36" w:rsidP="005B0B29">
            <w:pPr>
              <w:jc w:val="center"/>
            </w:pPr>
            <w:r w:rsidRPr="00C1362F">
              <w:t>Clay</w:t>
            </w:r>
          </w:p>
        </w:tc>
        <w:tc>
          <w:tcPr>
            <w:tcW w:w="819" w:type="dxa"/>
            <w:tcBorders>
              <w:top w:val="single" w:sz="12" w:space="0" w:color="auto"/>
              <w:bottom w:val="single" w:sz="4" w:space="0" w:color="auto"/>
            </w:tcBorders>
            <w:vAlign w:val="center"/>
          </w:tcPr>
          <w:p w14:paraId="49D7B9C0" w14:textId="77777777" w:rsidR="00E77D36" w:rsidRPr="00C1362F" w:rsidRDefault="00E77D36" w:rsidP="005B0B29">
            <w:pPr>
              <w:jc w:val="center"/>
            </w:pPr>
            <w:r w:rsidRPr="00C1362F">
              <w:t>fPAR</w:t>
            </w:r>
          </w:p>
        </w:tc>
      </w:tr>
      <w:bookmarkEnd w:id="17"/>
      <w:tr w:rsidR="00E77D36" w:rsidRPr="00C1362F" w14:paraId="3C539C66" w14:textId="77777777" w:rsidTr="000D368A">
        <w:trPr>
          <w:jc w:val="center"/>
        </w:trPr>
        <w:tc>
          <w:tcPr>
            <w:tcW w:w="932" w:type="dxa"/>
            <w:tcBorders>
              <w:top w:val="single" w:sz="4" w:space="0" w:color="auto"/>
            </w:tcBorders>
            <w:vAlign w:val="center"/>
          </w:tcPr>
          <w:p w14:paraId="6EBFB4C5" w14:textId="77777777" w:rsidR="00E77D36" w:rsidRPr="00C1362F" w:rsidRDefault="00E77D36" w:rsidP="005B0B29">
            <w:pPr>
              <w:jc w:val="center"/>
            </w:pPr>
            <w:r w:rsidRPr="00C1362F">
              <w:t>NEE</w:t>
            </w:r>
          </w:p>
        </w:tc>
        <w:tc>
          <w:tcPr>
            <w:tcW w:w="840" w:type="dxa"/>
            <w:tcBorders>
              <w:top w:val="single" w:sz="4" w:space="0" w:color="auto"/>
            </w:tcBorders>
            <w:vAlign w:val="center"/>
          </w:tcPr>
          <w:p w14:paraId="4B86E7F8" w14:textId="77777777" w:rsidR="00E77D36" w:rsidRPr="00C1362F" w:rsidRDefault="00E77D36" w:rsidP="005B0B29">
            <w:pPr>
              <w:jc w:val="center"/>
            </w:pPr>
            <w:r w:rsidRPr="00C1362F">
              <w:t>1</w:t>
            </w:r>
          </w:p>
        </w:tc>
        <w:tc>
          <w:tcPr>
            <w:tcW w:w="838" w:type="dxa"/>
            <w:tcBorders>
              <w:top w:val="single" w:sz="4" w:space="0" w:color="auto"/>
            </w:tcBorders>
            <w:vAlign w:val="center"/>
          </w:tcPr>
          <w:p w14:paraId="117DFF6C" w14:textId="77777777" w:rsidR="00E77D36" w:rsidRPr="00C1362F" w:rsidRDefault="00E77D36" w:rsidP="005B0B29">
            <w:pPr>
              <w:jc w:val="center"/>
            </w:pPr>
          </w:p>
        </w:tc>
        <w:tc>
          <w:tcPr>
            <w:tcW w:w="711" w:type="dxa"/>
            <w:tcBorders>
              <w:top w:val="single" w:sz="4" w:space="0" w:color="auto"/>
            </w:tcBorders>
          </w:tcPr>
          <w:p w14:paraId="29BC7C0C" w14:textId="77777777" w:rsidR="00E77D36" w:rsidRPr="00C1362F" w:rsidRDefault="00E77D36" w:rsidP="005B0B29">
            <w:pPr>
              <w:jc w:val="center"/>
            </w:pPr>
          </w:p>
        </w:tc>
        <w:tc>
          <w:tcPr>
            <w:tcW w:w="838" w:type="dxa"/>
            <w:tcBorders>
              <w:top w:val="single" w:sz="4" w:space="0" w:color="auto"/>
            </w:tcBorders>
            <w:vAlign w:val="center"/>
          </w:tcPr>
          <w:p w14:paraId="3EEF9979" w14:textId="77777777" w:rsidR="00E77D36" w:rsidRPr="00C1362F" w:rsidRDefault="00E77D36" w:rsidP="005B0B29">
            <w:pPr>
              <w:jc w:val="center"/>
            </w:pPr>
          </w:p>
        </w:tc>
        <w:tc>
          <w:tcPr>
            <w:tcW w:w="1005" w:type="dxa"/>
            <w:tcBorders>
              <w:top w:val="single" w:sz="4" w:space="0" w:color="auto"/>
            </w:tcBorders>
            <w:vAlign w:val="center"/>
          </w:tcPr>
          <w:p w14:paraId="08DF8AE1" w14:textId="77777777" w:rsidR="00E77D36" w:rsidRPr="00C1362F" w:rsidRDefault="00E77D36" w:rsidP="005B0B29">
            <w:pPr>
              <w:jc w:val="center"/>
            </w:pPr>
          </w:p>
        </w:tc>
        <w:tc>
          <w:tcPr>
            <w:tcW w:w="998" w:type="dxa"/>
            <w:tcBorders>
              <w:top w:val="single" w:sz="4" w:space="0" w:color="auto"/>
            </w:tcBorders>
            <w:vAlign w:val="center"/>
          </w:tcPr>
          <w:p w14:paraId="02DF9E01" w14:textId="77777777" w:rsidR="00E77D36" w:rsidRPr="00C1362F" w:rsidRDefault="00E77D36" w:rsidP="005B0B29">
            <w:pPr>
              <w:jc w:val="center"/>
            </w:pPr>
          </w:p>
        </w:tc>
        <w:tc>
          <w:tcPr>
            <w:tcW w:w="759" w:type="dxa"/>
            <w:tcBorders>
              <w:top w:val="single" w:sz="4" w:space="0" w:color="auto"/>
            </w:tcBorders>
            <w:vAlign w:val="center"/>
          </w:tcPr>
          <w:p w14:paraId="57BD2BAF" w14:textId="77777777" w:rsidR="00E77D36" w:rsidRPr="00C1362F" w:rsidRDefault="00E77D36" w:rsidP="005B0B29">
            <w:pPr>
              <w:jc w:val="center"/>
            </w:pPr>
          </w:p>
        </w:tc>
        <w:tc>
          <w:tcPr>
            <w:tcW w:w="793" w:type="dxa"/>
            <w:tcBorders>
              <w:top w:val="single" w:sz="4" w:space="0" w:color="auto"/>
            </w:tcBorders>
            <w:vAlign w:val="center"/>
          </w:tcPr>
          <w:p w14:paraId="0F41AF92" w14:textId="77777777" w:rsidR="00E77D36" w:rsidRPr="00C1362F" w:rsidRDefault="00E77D36" w:rsidP="005B0B29">
            <w:pPr>
              <w:jc w:val="center"/>
            </w:pPr>
          </w:p>
        </w:tc>
        <w:tc>
          <w:tcPr>
            <w:tcW w:w="827" w:type="dxa"/>
            <w:tcBorders>
              <w:top w:val="single" w:sz="4" w:space="0" w:color="auto"/>
            </w:tcBorders>
            <w:vAlign w:val="center"/>
          </w:tcPr>
          <w:p w14:paraId="65F93A18" w14:textId="77777777" w:rsidR="00E77D36" w:rsidRPr="00C1362F" w:rsidRDefault="00E77D36" w:rsidP="005B0B29">
            <w:pPr>
              <w:jc w:val="center"/>
            </w:pPr>
          </w:p>
        </w:tc>
        <w:tc>
          <w:tcPr>
            <w:tcW w:w="819" w:type="dxa"/>
            <w:tcBorders>
              <w:top w:val="single" w:sz="4" w:space="0" w:color="auto"/>
            </w:tcBorders>
            <w:vAlign w:val="center"/>
          </w:tcPr>
          <w:p w14:paraId="2536A48E" w14:textId="77777777" w:rsidR="00E77D36" w:rsidRPr="00C1362F" w:rsidRDefault="00E77D36" w:rsidP="005B0B29">
            <w:pPr>
              <w:jc w:val="center"/>
            </w:pPr>
          </w:p>
        </w:tc>
      </w:tr>
      <w:tr w:rsidR="00E77D36" w:rsidRPr="00C1362F" w14:paraId="4675D647" w14:textId="77777777" w:rsidTr="000D368A">
        <w:trPr>
          <w:jc w:val="center"/>
        </w:trPr>
        <w:tc>
          <w:tcPr>
            <w:tcW w:w="932" w:type="dxa"/>
            <w:vAlign w:val="center"/>
          </w:tcPr>
          <w:p w14:paraId="6EA3D376" w14:textId="77777777" w:rsidR="00E77D36" w:rsidRPr="00C1362F" w:rsidRDefault="00E77D36" w:rsidP="005B0B29">
            <w:pPr>
              <w:jc w:val="center"/>
            </w:pPr>
            <w:r w:rsidRPr="00C1362F">
              <w:t>GPP</w:t>
            </w:r>
          </w:p>
        </w:tc>
        <w:tc>
          <w:tcPr>
            <w:tcW w:w="840" w:type="dxa"/>
            <w:vAlign w:val="center"/>
          </w:tcPr>
          <w:p w14:paraId="1DF450FA" w14:textId="77777777" w:rsidR="00E77D36" w:rsidRPr="00C1362F" w:rsidRDefault="00E77D36" w:rsidP="005B0B29">
            <w:pPr>
              <w:jc w:val="center"/>
            </w:pPr>
            <w:r w:rsidRPr="00C1362F">
              <w:t>0.26</w:t>
            </w:r>
            <w:r w:rsidRPr="00C1362F">
              <w:rPr>
                <w:vertAlign w:val="superscript"/>
              </w:rPr>
              <w:t>*</w:t>
            </w:r>
          </w:p>
        </w:tc>
        <w:tc>
          <w:tcPr>
            <w:tcW w:w="838" w:type="dxa"/>
            <w:vAlign w:val="center"/>
          </w:tcPr>
          <w:p w14:paraId="40D34B15" w14:textId="77777777" w:rsidR="00E77D36" w:rsidRPr="00C1362F" w:rsidRDefault="00E77D36" w:rsidP="005B0B29">
            <w:pPr>
              <w:jc w:val="center"/>
            </w:pPr>
            <w:r w:rsidRPr="00C1362F">
              <w:t>1</w:t>
            </w:r>
          </w:p>
        </w:tc>
        <w:tc>
          <w:tcPr>
            <w:tcW w:w="711" w:type="dxa"/>
          </w:tcPr>
          <w:p w14:paraId="04F42A51" w14:textId="77777777" w:rsidR="00E77D36" w:rsidRPr="00C1362F" w:rsidRDefault="00E77D36" w:rsidP="005B0B29">
            <w:pPr>
              <w:jc w:val="center"/>
            </w:pPr>
          </w:p>
        </w:tc>
        <w:tc>
          <w:tcPr>
            <w:tcW w:w="838" w:type="dxa"/>
            <w:vAlign w:val="center"/>
          </w:tcPr>
          <w:p w14:paraId="2608160E" w14:textId="77777777" w:rsidR="00E77D36" w:rsidRPr="00C1362F" w:rsidRDefault="00E77D36" w:rsidP="005B0B29">
            <w:pPr>
              <w:jc w:val="center"/>
            </w:pPr>
          </w:p>
        </w:tc>
        <w:tc>
          <w:tcPr>
            <w:tcW w:w="1005" w:type="dxa"/>
            <w:vAlign w:val="center"/>
          </w:tcPr>
          <w:p w14:paraId="1F42EC82" w14:textId="77777777" w:rsidR="00E77D36" w:rsidRPr="00C1362F" w:rsidRDefault="00E77D36" w:rsidP="005B0B29">
            <w:pPr>
              <w:jc w:val="center"/>
            </w:pPr>
          </w:p>
        </w:tc>
        <w:tc>
          <w:tcPr>
            <w:tcW w:w="998" w:type="dxa"/>
            <w:vAlign w:val="center"/>
          </w:tcPr>
          <w:p w14:paraId="6577ED66" w14:textId="77777777" w:rsidR="00E77D36" w:rsidRPr="00C1362F" w:rsidRDefault="00E77D36" w:rsidP="005B0B29">
            <w:pPr>
              <w:jc w:val="center"/>
            </w:pPr>
          </w:p>
        </w:tc>
        <w:tc>
          <w:tcPr>
            <w:tcW w:w="759" w:type="dxa"/>
            <w:vAlign w:val="center"/>
          </w:tcPr>
          <w:p w14:paraId="44DB4868" w14:textId="77777777" w:rsidR="00E77D36" w:rsidRPr="00C1362F" w:rsidRDefault="00E77D36" w:rsidP="005B0B29">
            <w:pPr>
              <w:jc w:val="center"/>
            </w:pPr>
          </w:p>
        </w:tc>
        <w:tc>
          <w:tcPr>
            <w:tcW w:w="793" w:type="dxa"/>
            <w:vAlign w:val="center"/>
          </w:tcPr>
          <w:p w14:paraId="2B759C44" w14:textId="77777777" w:rsidR="00E77D36" w:rsidRPr="00C1362F" w:rsidRDefault="00E77D36" w:rsidP="005B0B29">
            <w:pPr>
              <w:jc w:val="center"/>
            </w:pPr>
          </w:p>
        </w:tc>
        <w:tc>
          <w:tcPr>
            <w:tcW w:w="827" w:type="dxa"/>
            <w:vAlign w:val="center"/>
          </w:tcPr>
          <w:p w14:paraId="59F8B86A" w14:textId="77777777" w:rsidR="00E77D36" w:rsidRPr="00C1362F" w:rsidRDefault="00E77D36" w:rsidP="005B0B29">
            <w:pPr>
              <w:jc w:val="center"/>
            </w:pPr>
          </w:p>
        </w:tc>
        <w:tc>
          <w:tcPr>
            <w:tcW w:w="819" w:type="dxa"/>
            <w:vAlign w:val="center"/>
          </w:tcPr>
          <w:p w14:paraId="35C7A0F0" w14:textId="77777777" w:rsidR="00E77D36" w:rsidRPr="00C1362F" w:rsidRDefault="00E77D36" w:rsidP="005B0B29">
            <w:pPr>
              <w:jc w:val="center"/>
            </w:pPr>
          </w:p>
        </w:tc>
      </w:tr>
      <w:tr w:rsidR="00E77D36" w:rsidRPr="00C1362F" w14:paraId="41545A8B" w14:textId="77777777" w:rsidTr="000D368A">
        <w:trPr>
          <w:jc w:val="center"/>
        </w:trPr>
        <w:tc>
          <w:tcPr>
            <w:tcW w:w="932" w:type="dxa"/>
            <w:vAlign w:val="center"/>
          </w:tcPr>
          <w:p w14:paraId="31AA3963" w14:textId="77777777" w:rsidR="00E77D36" w:rsidRPr="00C1362F" w:rsidRDefault="00E77D36" w:rsidP="005B0B29">
            <w:pPr>
              <w:jc w:val="center"/>
            </w:pPr>
            <w:r w:rsidRPr="00C1362F">
              <w:t>RECO</w:t>
            </w:r>
          </w:p>
        </w:tc>
        <w:tc>
          <w:tcPr>
            <w:tcW w:w="840" w:type="dxa"/>
            <w:vAlign w:val="center"/>
          </w:tcPr>
          <w:p w14:paraId="6A684B67" w14:textId="77777777" w:rsidR="00E77D36" w:rsidRPr="00C1362F" w:rsidRDefault="00E77D36" w:rsidP="005B0B29">
            <w:pPr>
              <w:jc w:val="center"/>
            </w:pPr>
            <w:r w:rsidRPr="00C1362F">
              <w:t>0.15</w:t>
            </w:r>
          </w:p>
        </w:tc>
        <w:tc>
          <w:tcPr>
            <w:tcW w:w="838" w:type="dxa"/>
            <w:vAlign w:val="center"/>
          </w:tcPr>
          <w:p w14:paraId="3E21905A" w14:textId="77777777" w:rsidR="00E77D36" w:rsidRPr="00C1362F" w:rsidRDefault="00E77D36" w:rsidP="005B0B29">
            <w:pPr>
              <w:jc w:val="center"/>
            </w:pPr>
            <w:r w:rsidRPr="00C1362F">
              <w:t>0.99*</w:t>
            </w:r>
          </w:p>
        </w:tc>
        <w:tc>
          <w:tcPr>
            <w:tcW w:w="711" w:type="dxa"/>
          </w:tcPr>
          <w:p w14:paraId="28AB8FAF" w14:textId="77777777" w:rsidR="00E77D36" w:rsidRPr="00C1362F" w:rsidRDefault="00E77D36" w:rsidP="005B0B29">
            <w:pPr>
              <w:jc w:val="center"/>
            </w:pPr>
            <w:r w:rsidRPr="00C1362F">
              <w:t>1</w:t>
            </w:r>
          </w:p>
        </w:tc>
        <w:tc>
          <w:tcPr>
            <w:tcW w:w="838" w:type="dxa"/>
            <w:vAlign w:val="center"/>
          </w:tcPr>
          <w:p w14:paraId="58B3EEE2" w14:textId="77777777" w:rsidR="00E77D36" w:rsidRPr="00C1362F" w:rsidRDefault="00E77D36" w:rsidP="005B0B29">
            <w:pPr>
              <w:jc w:val="center"/>
            </w:pPr>
          </w:p>
        </w:tc>
        <w:tc>
          <w:tcPr>
            <w:tcW w:w="1005" w:type="dxa"/>
            <w:vAlign w:val="center"/>
          </w:tcPr>
          <w:p w14:paraId="09E04ACB" w14:textId="77777777" w:rsidR="00E77D36" w:rsidRPr="00C1362F" w:rsidRDefault="00E77D36" w:rsidP="005B0B29">
            <w:pPr>
              <w:jc w:val="center"/>
            </w:pPr>
          </w:p>
        </w:tc>
        <w:tc>
          <w:tcPr>
            <w:tcW w:w="998" w:type="dxa"/>
            <w:vAlign w:val="center"/>
          </w:tcPr>
          <w:p w14:paraId="7CA1F66E" w14:textId="77777777" w:rsidR="00E77D36" w:rsidRPr="00C1362F" w:rsidRDefault="00E77D36" w:rsidP="005B0B29">
            <w:pPr>
              <w:jc w:val="center"/>
            </w:pPr>
          </w:p>
        </w:tc>
        <w:tc>
          <w:tcPr>
            <w:tcW w:w="759" w:type="dxa"/>
            <w:vAlign w:val="center"/>
          </w:tcPr>
          <w:p w14:paraId="6C77CC00" w14:textId="77777777" w:rsidR="00E77D36" w:rsidRPr="00C1362F" w:rsidRDefault="00E77D36" w:rsidP="005B0B29">
            <w:pPr>
              <w:jc w:val="center"/>
            </w:pPr>
          </w:p>
        </w:tc>
        <w:tc>
          <w:tcPr>
            <w:tcW w:w="793" w:type="dxa"/>
            <w:vAlign w:val="center"/>
          </w:tcPr>
          <w:p w14:paraId="4ADA0786" w14:textId="77777777" w:rsidR="00E77D36" w:rsidRPr="00C1362F" w:rsidRDefault="00E77D36" w:rsidP="005B0B29">
            <w:pPr>
              <w:jc w:val="center"/>
            </w:pPr>
          </w:p>
        </w:tc>
        <w:tc>
          <w:tcPr>
            <w:tcW w:w="827" w:type="dxa"/>
            <w:vAlign w:val="center"/>
          </w:tcPr>
          <w:p w14:paraId="295F6C55" w14:textId="77777777" w:rsidR="00E77D36" w:rsidRPr="00C1362F" w:rsidRDefault="00E77D36" w:rsidP="005B0B29">
            <w:pPr>
              <w:jc w:val="center"/>
            </w:pPr>
          </w:p>
        </w:tc>
        <w:tc>
          <w:tcPr>
            <w:tcW w:w="819" w:type="dxa"/>
            <w:vAlign w:val="center"/>
          </w:tcPr>
          <w:p w14:paraId="4CCBCBC0" w14:textId="77777777" w:rsidR="00E77D36" w:rsidRPr="00C1362F" w:rsidRDefault="00E77D36" w:rsidP="005B0B29">
            <w:pPr>
              <w:jc w:val="center"/>
            </w:pPr>
          </w:p>
        </w:tc>
      </w:tr>
      <w:tr w:rsidR="00E77D36" w:rsidRPr="00C1362F" w14:paraId="79DA834A" w14:textId="77777777" w:rsidTr="000D368A">
        <w:trPr>
          <w:jc w:val="center"/>
        </w:trPr>
        <w:tc>
          <w:tcPr>
            <w:tcW w:w="932" w:type="dxa"/>
            <w:vAlign w:val="center"/>
          </w:tcPr>
          <w:p w14:paraId="5C225F82" w14:textId="77777777" w:rsidR="00E77D36" w:rsidRPr="00C1362F" w:rsidRDefault="00E77D36" w:rsidP="005B0B29">
            <w:pPr>
              <w:jc w:val="center"/>
            </w:pPr>
            <w:r w:rsidRPr="00C1362F">
              <w:t>SOC</w:t>
            </w:r>
          </w:p>
        </w:tc>
        <w:tc>
          <w:tcPr>
            <w:tcW w:w="840" w:type="dxa"/>
            <w:vAlign w:val="center"/>
          </w:tcPr>
          <w:p w14:paraId="2DB6F657" w14:textId="77777777" w:rsidR="00E77D36" w:rsidRPr="00C1362F" w:rsidRDefault="00E77D36" w:rsidP="005B0B29">
            <w:pPr>
              <w:jc w:val="center"/>
            </w:pPr>
            <w:r w:rsidRPr="00C1362F">
              <w:t>-0.01</w:t>
            </w:r>
            <w:r w:rsidRPr="00C1362F">
              <w:rPr>
                <w:vertAlign w:val="superscript"/>
              </w:rPr>
              <w:t>*</w:t>
            </w:r>
          </w:p>
        </w:tc>
        <w:tc>
          <w:tcPr>
            <w:tcW w:w="838" w:type="dxa"/>
            <w:vAlign w:val="center"/>
          </w:tcPr>
          <w:p w14:paraId="5F152199" w14:textId="77777777" w:rsidR="00E77D36" w:rsidRPr="00C1362F" w:rsidRDefault="00E77D36" w:rsidP="005B0B29">
            <w:pPr>
              <w:jc w:val="center"/>
            </w:pPr>
            <w:r w:rsidRPr="00C1362F">
              <w:t>0.41</w:t>
            </w:r>
            <w:r w:rsidRPr="00C1362F">
              <w:rPr>
                <w:vertAlign w:val="superscript"/>
              </w:rPr>
              <w:t>*</w:t>
            </w:r>
          </w:p>
        </w:tc>
        <w:tc>
          <w:tcPr>
            <w:tcW w:w="711" w:type="dxa"/>
          </w:tcPr>
          <w:p w14:paraId="48B6DB0D" w14:textId="77777777" w:rsidR="00E77D36" w:rsidRPr="00C1362F" w:rsidRDefault="00E77D36" w:rsidP="005B0B29">
            <w:pPr>
              <w:jc w:val="center"/>
            </w:pPr>
            <w:r w:rsidRPr="00C1362F">
              <w:t>0.42</w:t>
            </w:r>
            <w:r w:rsidRPr="00C1362F">
              <w:rPr>
                <w:vertAlign w:val="superscript"/>
              </w:rPr>
              <w:t>*</w:t>
            </w:r>
          </w:p>
        </w:tc>
        <w:tc>
          <w:tcPr>
            <w:tcW w:w="838" w:type="dxa"/>
            <w:vAlign w:val="center"/>
          </w:tcPr>
          <w:p w14:paraId="29FE4DDA" w14:textId="77777777" w:rsidR="00E77D36" w:rsidRPr="00C1362F" w:rsidRDefault="00E77D36" w:rsidP="005B0B29">
            <w:pPr>
              <w:jc w:val="center"/>
            </w:pPr>
            <w:r w:rsidRPr="00C1362F">
              <w:t>1</w:t>
            </w:r>
          </w:p>
        </w:tc>
        <w:tc>
          <w:tcPr>
            <w:tcW w:w="1005" w:type="dxa"/>
            <w:vAlign w:val="center"/>
          </w:tcPr>
          <w:p w14:paraId="1BFD6CA7" w14:textId="77777777" w:rsidR="00E77D36" w:rsidRPr="00C1362F" w:rsidRDefault="00E77D36" w:rsidP="005B0B29">
            <w:pPr>
              <w:jc w:val="center"/>
            </w:pPr>
          </w:p>
        </w:tc>
        <w:tc>
          <w:tcPr>
            <w:tcW w:w="998" w:type="dxa"/>
            <w:vAlign w:val="center"/>
          </w:tcPr>
          <w:p w14:paraId="643E0EF1" w14:textId="77777777" w:rsidR="00E77D36" w:rsidRPr="00C1362F" w:rsidRDefault="00E77D36" w:rsidP="005B0B29">
            <w:pPr>
              <w:jc w:val="center"/>
            </w:pPr>
          </w:p>
        </w:tc>
        <w:tc>
          <w:tcPr>
            <w:tcW w:w="759" w:type="dxa"/>
            <w:vAlign w:val="center"/>
          </w:tcPr>
          <w:p w14:paraId="3BD0304F" w14:textId="77777777" w:rsidR="00E77D36" w:rsidRPr="00C1362F" w:rsidRDefault="00E77D36" w:rsidP="005B0B29">
            <w:pPr>
              <w:jc w:val="center"/>
            </w:pPr>
          </w:p>
        </w:tc>
        <w:tc>
          <w:tcPr>
            <w:tcW w:w="793" w:type="dxa"/>
            <w:vAlign w:val="center"/>
          </w:tcPr>
          <w:p w14:paraId="3CDA0ABC" w14:textId="77777777" w:rsidR="00E77D36" w:rsidRPr="00C1362F" w:rsidRDefault="00E77D36" w:rsidP="005B0B29">
            <w:pPr>
              <w:jc w:val="center"/>
            </w:pPr>
          </w:p>
        </w:tc>
        <w:tc>
          <w:tcPr>
            <w:tcW w:w="827" w:type="dxa"/>
            <w:vAlign w:val="center"/>
          </w:tcPr>
          <w:p w14:paraId="13DAA571" w14:textId="77777777" w:rsidR="00E77D36" w:rsidRPr="00C1362F" w:rsidRDefault="00E77D36" w:rsidP="005B0B29">
            <w:pPr>
              <w:jc w:val="center"/>
            </w:pPr>
          </w:p>
        </w:tc>
        <w:tc>
          <w:tcPr>
            <w:tcW w:w="819" w:type="dxa"/>
            <w:vAlign w:val="center"/>
          </w:tcPr>
          <w:p w14:paraId="46099D0B" w14:textId="77777777" w:rsidR="00E77D36" w:rsidRPr="00C1362F" w:rsidRDefault="00E77D36" w:rsidP="005B0B29">
            <w:pPr>
              <w:jc w:val="center"/>
            </w:pPr>
          </w:p>
        </w:tc>
      </w:tr>
      <w:tr w:rsidR="00E77D36" w:rsidRPr="00C1362F" w14:paraId="73F0153E" w14:textId="77777777" w:rsidTr="000D368A">
        <w:trPr>
          <w:jc w:val="center"/>
        </w:trPr>
        <w:tc>
          <w:tcPr>
            <w:tcW w:w="932" w:type="dxa"/>
            <w:vAlign w:val="center"/>
          </w:tcPr>
          <w:p w14:paraId="4EEB94FC" w14:textId="77777777" w:rsidR="00E77D36" w:rsidRPr="00C1362F" w:rsidRDefault="00E77D36" w:rsidP="005B0B29">
            <w:pPr>
              <w:jc w:val="center"/>
            </w:pPr>
            <w:r w:rsidRPr="00C1362F">
              <w:t>SWC_sf</w:t>
            </w:r>
          </w:p>
        </w:tc>
        <w:tc>
          <w:tcPr>
            <w:tcW w:w="840" w:type="dxa"/>
            <w:vAlign w:val="center"/>
          </w:tcPr>
          <w:p w14:paraId="3EBF5EFD" w14:textId="77777777" w:rsidR="00E77D36" w:rsidRPr="00C1362F" w:rsidRDefault="00E77D36" w:rsidP="005B0B29">
            <w:pPr>
              <w:jc w:val="center"/>
            </w:pPr>
            <w:r w:rsidRPr="00C1362F">
              <w:t>0.14</w:t>
            </w:r>
            <w:r w:rsidRPr="00C1362F">
              <w:rPr>
                <w:vertAlign w:val="superscript"/>
              </w:rPr>
              <w:t>*</w:t>
            </w:r>
          </w:p>
        </w:tc>
        <w:tc>
          <w:tcPr>
            <w:tcW w:w="838" w:type="dxa"/>
            <w:vAlign w:val="center"/>
          </w:tcPr>
          <w:p w14:paraId="4EABE8C6" w14:textId="77777777" w:rsidR="00E77D36" w:rsidRPr="00C1362F" w:rsidRDefault="00E77D36" w:rsidP="005B0B29">
            <w:pPr>
              <w:jc w:val="center"/>
            </w:pPr>
            <w:r w:rsidRPr="00C1362F">
              <w:t>0.70</w:t>
            </w:r>
            <w:r w:rsidRPr="00C1362F">
              <w:rPr>
                <w:vertAlign w:val="superscript"/>
              </w:rPr>
              <w:t>*</w:t>
            </w:r>
          </w:p>
        </w:tc>
        <w:tc>
          <w:tcPr>
            <w:tcW w:w="711" w:type="dxa"/>
          </w:tcPr>
          <w:p w14:paraId="340DDE1B" w14:textId="77777777" w:rsidR="00E77D36" w:rsidRPr="00C1362F" w:rsidRDefault="00E77D36" w:rsidP="005B0B29">
            <w:pPr>
              <w:jc w:val="center"/>
            </w:pPr>
            <w:r w:rsidRPr="00C1362F">
              <w:t>0.19</w:t>
            </w:r>
            <w:r w:rsidRPr="00C1362F">
              <w:rPr>
                <w:vertAlign w:val="superscript"/>
              </w:rPr>
              <w:t>*</w:t>
            </w:r>
          </w:p>
        </w:tc>
        <w:tc>
          <w:tcPr>
            <w:tcW w:w="838" w:type="dxa"/>
            <w:vAlign w:val="center"/>
          </w:tcPr>
          <w:p w14:paraId="130E740C" w14:textId="77777777" w:rsidR="00E77D36" w:rsidRPr="00C1362F" w:rsidRDefault="00E77D36" w:rsidP="005B0B29">
            <w:pPr>
              <w:jc w:val="center"/>
            </w:pPr>
            <w:r w:rsidRPr="00C1362F">
              <w:t>0.19</w:t>
            </w:r>
            <w:r w:rsidRPr="00C1362F">
              <w:rPr>
                <w:vertAlign w:val="superscript"/>
              </w:rPr>
              <w:t>*</w:t>
            </w:r>
          </w:p>
        </w:tc>
        <w:tc>
          <w:tcPr>
            <w:tcW w:w="1005" w:type="dxa"/>
            <w:vAlign w:val="center"/>
          </w:tcPr>
          <w:p w14:paraId="2C86B9B7" w14:textId="77777777" w:rsidR="00E77D36" w:rsidRPr="00C1362F" w:rsidRDefault="00E77D36" w:rsidP="005B0B29">
            <w:pPr>
              <w:jc w:val="center"/>
            </w:pPr>
            <w:r w:rsidRPr="00C1362F">
              <w:t>1</w:t>
            </w:r>
          </w:p>
        </w:tc>
        <w:tc>
          <w:tcPr>
            <w:tcW w:w="998" w:type="dxa"/>
            <w:vAlign w:val="center"/>
          </w:tcPr>
          <w:p w14:paraId="478F74A7" w14:textId="77777777" w:rsidR="00E77D36" w:rsidRPr="00C1362F" w:rsidRDefault="00E77D36" w:rsidP="005B0B29">
            <w:pPr>
              <w:jc w:val="center"/>
            </w:pPr>
          </w:p>
        </w:tc>
        <w:tc>
          <w:tcPr>
            <w:tcW w:w="759" w:type="dxa"/>
            <w:vAlign w:val="center"/>
          </w:tcPr>
          <w:p w14:paraId="657AF5F8" w14:textId="77777777" w:rsidR="00E77D36" w:rsidRPr="00C1362F" w:rsidRDefault="00E77D36" w:rsidP="005B0B29">
            <w:pPr>
              <w:jc w:val="center"/>
            </w:pPr>
          </w:p>
        </w:tc>
        <w:tc>
          <w:tcPr>
            <w:tcW w:w="793" w:type="dxa"/>
            <w:vAlign w:val="center"/>
          </w:tcPr>
          <w:p w14:paraId="393B19FD" w14:textId="77777777" w:rsidR="00E77D36" w:rsidRPr="00C1362F" w:rsidRDefault="00E77D36" w:rsidP="005B0B29">
            <w:pPr>
              <w:jc w:val="center"/>
            </w:pPr>
          </w:p>
        </w:tc>
        <w:tc>
          <w:tcPr>
            <w:tcW w:w="827" w:type="dxa"/>
            <w:vAlign w:val="center"/>
          </w:tcPr>
          <w:p w14:paraId="2B60D228" w14:textId="77777777" w:rsidR="00E77D36" w:rsidRPr="00C1362F" w:rsidRDefault="00E77D36" w:rsidP="005B0B29">
            <w:pPr>
              <w:jc w:val="center"/>
            </w:pPr>
          </w:p>
        </w:tc>
        <w:tc>
          <w:tcPr>
            <w:tcW w:w="819" w:type="dxa"/>
            <w:vAlign w:val="center"/>
          </w:tcPr>
          <w:p w14:paraId="3C6B1ACE" w14:textId="77777777" w:rsidR="00E77D36" w:rsidRPr="00C1362F" w:rsidRDefault="00E77D36" w:rsidP="005B0B29">
            <w:pPr>
              <w:jc w:val="center"/>
            </w:pPr>
          </w:p>
        </w:tc>
      </w:tr>
      <w:tr w:rsidR="00E77D36" w:rsidRPr="00C1362F" w14:paraId="0654F5E7" w14:textId="77777777" w:rsidTr="000D368A">
        <w:trPr>
          <w:jc w:val="center"/>
        </w:trPr>
        <w:tc>
          <w:tcPr>
            <w:tcW w:w="932" w:type="dxa"/>
            <w:vAlign w:val="center"/>
          </w:tcPr>
          <w:p w14:paraId="5C6BE581" w14:textId="77777777" w:rsidR="00E77D36" w:rsidRPr="00C1362F" w:rsidRDefault="00E77D36" w:rsidP="005B0B29">
            <w:pPr>
              <w:jc w:val="center"/>
            </w:pPr>
            <w:r w:rsidRPr="00C1362F">
              <w:t>SWC_rt</w:t>
            </w:r>
          </w:p>
        </w:tc>
        <w:tc>
          <w:tcPr>
            <w:tcW w:w="840" w:type="dxa"/>
            <w:vAlign w:val="center"/>
          </w:tcPr>
          <w:p w14:paraId="32507AFA" w14:textId="77777777" w:rsidR="00E77D36" w:rsidRPr="00C1362F" w:rsidRDefault="00E77D36" w:rsidP="005B0B29">
            <w:pPr>
              <w:jc w:val="center"/>
            </w:pPr>
            <w:r w:rsidRPr="00C1362F">
              <w:t>0.15</w:t>
            </w:r>
            <w:r w:rsidRPr="00C1362F">
              <w:rPr>
                <w:vertAlign w:val="superscript"/>
              </w:rPr>
              <w:t>*</w:t>
            </w:r>
          </w:p>
        </w:tc>
        <w:tc>
          <w:tcPr>
            <w:tcW w:w="838" w:type="dxa"/>
            <w:vAlign w:val="center"/>
          </w:tcPr>
          <w:p w14:paraId="548A9EFD" w14:textId="77777777" w:rsidR="00E77D36" w:rsidRPr="00C1362F" w:rsidRDefault="00E77D36" w:rsidP="005B0B29">
            <w:pPr>
              <w:jc w:val="center"/>
            </w:pPr>
            <w:r w:rsidRPr="00C1362F">
              <w:t>0.78</w:t>
            </w:r>
            <w:r w:rsidRPr="00C1362F">
              <w:rPr>
                <w:vertAlign w:val="superscript"/>
              </w:rPr>
              <w:t>*</w:t>
            </w:r>
          </w:p>
        </w:tc>
        <w:tc>
          <w:tcPr>
            <w:tcW w:w="711" w:type="dxa"/>
          </w:tcPr>
          <w:p w14:paraId="65022567" w14:textId="77777777" w:rsidR="00E77D36" w:rsidRPr="00C1362F" w:rsidRDefault="00E77D36" w:rsidP="005B0B29">
            <w:pPr>
              <w:jc w:val="center"/>
            </w:pPr>
            <w:r w:rsidRPr="00C1362F">
              <w:t>0.25</w:t>
            </w:r>
            <w:r w:rsidRPr="00C1362F">
              <w:rPr>
                <w:vertAlign w:val="superscript"/>
              </w:rPr>
              <w:t>*</w:t>
            </w:r>
          </w:p>
        </w:tc>
        <w:tc>
          <w:tcPr>
            <w:tcW w:w="838" w:type="dxa"/>
            <w:vAlign w:val="center"/>
          </w:tcPr>
          <w:p w14:paraId="1E61C3ED" w14:textId="77777777" w:rsidR="00E77D36" w:rsidRPr="00C1362F" w:rsidRDefault="00E77D36" w:rsidP="005B0B29">
            <w:pPr>
              <w:jc w:val="center"/>
            </w:pPr>
            <w:r w:rsidRPr="00C1362F">
              <w:t>0.25</w:t>
            </w:r>
            <w:r w:rsidRPr="00C1362F">
              <w:rPr>
                <w:vertAlign w:val="superscript"/>
              </w:rPr>
              <w:t>*</w:t>
            </w:r>
          </w:p>
        </w:tc>
        <w:tc>
          <w:tcPr>
            <w:tcW w:w="1005" w:type="dxa"/>
            <w:vAlign w:val="center"/>
          </w:tcPr>
          <w:p w14:paraId="27A616F8" w14:textId="77777777" w:rsidR="00E77D36" w:rsidRPr="00C1362F" w:rsidRDefault="00E77D36" w:rsidP="005B0B29">
            <w:pPr>
              <w:jc w:val="center"/>
            </w:pPr>
            <w:r w:rsidRPr="00C1362F">
              <w:t>0.97</w:t>
            </w:r>
            <w:r w:rsidRPr="00C1362F">
              <w:rPr>
                <w:vertAlign w:val="superscript"/>
              </w:rPr>
              <w:t>*</w:t>
            </w:r>
          </w:p>
        </w:tc>
        <w:tc>
          <w:tcPr>
            <w:tcW w:w="998" w:type="dxa"/>
            <w:vAlign w:val="center"/>
          </w:tcPr>
          <w:p w14:paraId="29CBE097" w14:textId="77777777" w:rsidR="00E77D36" w:rsidRPr="00C1362F" w:rsidRDefault="00E77D36" w:rsidP="005B0B29">
            <w:pPr>
              <w:jc w:val="center"/>
            </w:pPr>
            <w:r w:rsidRPr="00C1362F">
              <w:t>1</w:t>
            </w:r>
          </w:p>
        </w:tc>
        <w:tc>
          <w:tcPr>
            <w:tcW w:w="759" w:type="dxa"/>
            <w:vAlign w:val="center"/>
          </w:tcPr>
          <w:p w14:paraId="0D73D90D" w14:textId="77777777" w:rsidR="00E77D36" w:rsidRPr="00C1362F" w:rsidRDefault="00E77D36" w:rsidP="005B0B29">
            <w:pPr>
              <w:jc w:val="center"/>
            </w:pPr>
          </w:p>
        </w:tc>
        <w:tc>
          <w:tcPr>
            <w:tcW w:w="793" w:type="dxa"/>
            <w:vAlign w:val="center"/>
          </w:tcPr>
          <w:p w14:paraId="305A732F" w14:textId="77777777" w:rsidR="00E77D36" w:rsidRPr="00C1362F" w:rsidRDefault="00E77D36" w:rsidP="005B0B29">
            <w:pPr>
              <w:jc w:val="center"/>
            </w:pPr>
          </w:p>
        </w:tc>
        <w:tc>
          <w:tcPr>
            <w:tcW w:w="827" w:type="dxa"/>
            <w:vAlign w:val="center"/>
          </w:tcPr>
          <w:p w14:paraId="1901930A" w14:textId="77777777" w:rsidR="00E77D36" w:rsidRPr="00C1362F" w:rsidRDefault="00E77D36" w:rsidP="005B0B29">
            <w:pPr>
              <w:jc w:val="center"/>
            </w:pPr>
          </w:p>
        </w:tc>
        <w:tc>
          <w:tcPr>
            <w:tcW w:w="819" w:type="dxa"/>
            <w:vAlign w:val="center"/>
          </w:tcPr>
          <w:p w14:paraId="6C72AC9D" w14:textId="77777777" w:rsidR="00E77D36" w:rsidRPr="00C1362F" w:rsidRDefault="00E77D36" w:rsidP="005B0B29">
            <w:pPr>
              <w:jc w:val="center"/>
            </w:pPr>
          </w:p>
        </w:tc>
      </w:tr>
      <w:tr w:rsidR="00E77D36" w:rsidRPr="00C1362F" w14:paraId="11C75A93" w14:textId="77777777" w:rsidTr="000D368A">
        <w:trPr>
          <w:jc w:val="center"/>
        </w:trPr>
        <w:tc>
          <w:tcPr>
            <w:tcW w:w="932" w:type="dxa"/>
            <w:vAlign w:val="center"/>
          </w:tcPr>
          <w:p w14:paraId="046A63EE" w14:textId="77777777" w:rsidR="00E77D36" w:rsidRPr="00C1362F" w:rsidRDefault="00E77D36" w:rsidP="005B0B29">
            <w:pPr>
              <w:jc w:val="center"/>
            </w:pPr>
            <w:r w:rsidRPr="00C1362F">
              <w:t>VPD</w:t>
            </w:r>
          </w:p>
        </w:tc>
        <w:tc>
          <w:tcPr>
            <w:tcW w:w="840" w:type="dxa"/>
            <w:vAlign w:val="center"/>
          </w:tcPr>
          <w:p w14:paraId="0088601B" w14:textId="77777777" w:rsidR="00E77D36" w:rsidRPr="00C1362F" w:rsidRDefault="00E77D36" w:rsidP="005B0B29">
            <w:pPr>
              <w:jc w:val="center"/>
            </w:pPr>
            <w:r w:rsidRPr="00C1362F">
              <w:t>-0.14</w:t>
            </w:r>
            <w:r w:rsidRPr="00C1362F">
              <w:rPr>
                <w:vertAlign w:val="superscript"/>
              </w:rPr>
              <w:t>*</w:t>
            </w:r>
          </w:p>
        </w:tc>
        <w:tc>
          <w:tcPr>
            <w:tcW w:w="838" w:type="dxa"/>
            <w:vAlign w:val="center"/>
          </w:tcPr>
          <w:p w14:paraId="0ADB9998" w14:textId="77777777" w:rsidR="00E77D36" w:rsidRPr="00C1362F" w:rsidRDefault="00E77D36" w:rsidP="005B0B29">
            <w:pPr>
              <w:jc w:val="center"/>
            </w:pPr>
            <w:r w:rsidRPr="00C1362F">
              <w:t>-0.44</w:t>
            </w:r>
            <w:r w:rsidRPr="00C1362F">
              <w:rPr>
                <w:vertAlign w:val="superscript"/>
              </w:rPr>
              <w:t>*</w:t>
            </w:r>
          </w:p>
        </w:tc>
        <w:tc>
          <w:tcPr>
            <w:tcW w:w="711" w:type="dxa"/>
          </w:tcPr>
          <w:p w14:paraId="25A00F06" w14:textId="77777777" w:rsidR="00E77D36" w:rsidRPr="00C1362F" w:rsidRDefault="00E77D36" w:rsidP="005B0B29">
            <w:pPr>
              <w:jc w:val="center"/>
            </w:pPr>
            <w:r w:rsidRPr="00C1362F">
              <w:t>-0.44</w:t>
            </w:r>
            <w:r w:rsidRPr="00C1362F">
              <w:rPr>
                <w:vertAlign w:val="superscript"/>
              </w:rPr>
              <w:t>*</w:t>
            </w:r>
          </w:p>
        </w:tc>
        <w:tc>
          <w:tcPr>
            <w:tcW w:w="838" w:type="dxa"/>
            <w:vAlign w:val="center"/>
          </w:tcPr>
          <w:p w14:paraId="086D1E01" w14:textId="77777777" w:rsidR="00E77D36" w:rsidRPr="00C1362F" w:rsidRDefault="00E77D36" w:rsidP="005B0B29">
            <w:pPr>
              <w:jc w:val="center"/>
            </w:pPr>
            <w:r w:rsidRPr="00C1362F">
              <w:t>-0.44</w:t>
            </w:r>
            <w:r w:rsidRPr="00C1362F">
              <w:rPr>
                <w:vertAlign w:val="superscript"/>
              </w:rPr>
              <w:t>*</w:t>
            </w:r>
          </w:p>
        </w:tc>
        <w:tc>
          <w:tcPr>
            <w:tcW w:w="1005" w:type="dxa"/>
            <w:vAlign w:val="center"/>
          </w:tcPr>
          <w:p w14:paraId="5D24CCC3" w14:textId="77777777" w:rsidR="00E77D36" w:rsidRPr="00C1362F" w:rsidRDefault="00E77D36" w:rsidP="005B0B29">
            <w:pPr>
              <w:jc w:val="center"/>
            </w:pPr>
            <w:r w:rsidRPr="00C1362F">
              <w:t>-0.66</w:t>
            </w:r>
            <w:r w:rsidRPr="00C1362F">
              <w:rPr>
                <w:vertAlign w:val="superscript"/>
              </w:rPr>
              <w:t>*</w:t>
            </w:r>
          </w:p>
        </w:tc>
        <w:tc>
          <w:tcPr>
            <w:tcW w:w="998" w:type="dxa"/>
            <w:vAlign w:val="center"/>
          </w:tcPr>
          <w:p w14:paraId="67D04677" w14:textId="77777777" w:rsidR="00E77D36" w:rsidRPr="00C1362F" w:rsidRDefault="00E77D36" w:rsidP="005B0B29">
            <w:pPr>
              <w:jc w:val="center"/>
            </w:pPr>
            <w:r w:rsidRPr="00C1362F">
              <w:t>-0.60</w:t>
            </w:r>
            <w:r w:rsidRPr="00C1362F">
              <w:rPr>
                <w:vertAlign w:val="superscript"/>
              </w:rPr>
              <w:t>*</w:t>
            </w:r>
          </w:p>
        </w:tc>
        <w:tc>
          <w:tcPr>
            <w:tcW w:w="759" w:type="dxa"/>
            <w:vAlign w:val="center"/>
          </w:tcPr>
          <w:p w14:paraId="3C2C41DC" w14:textId="77777777" w:rsidR="00E77D36" w:rsidRPr="00C1362F" w:rsidRDefault="00E77D36" w:rsidP="005B0B29">
            <w:pPr>
              <w:jc w:val="center"/>
            </w:pPr>
            <w:r w:rsidRPr="00C1362F">
              <w:t>1</w:t>
            </w:r>
          </w:p>
        </w:tc>
        <w:tc>
          <w:tcPr>
            <w:tcW w:w="793" w:type="dxa"/>
            <w:vAlign w:val="center"/>
          </w:tcPr>
          <w:p w14:paraId="08E76DB7" w14:textId="77777777" w:rsidR="00E77D36" w:rsidRPr="00C1362F" w:rsidRDefault="00E77D36" w:rsidP="005B0B29">
            <w:pPr>
              <w:jc w:val="center"/>
            </w:pPr>
          </w:p>
        </w:tc>
        <w:tc>
          <w:tcPr>
            <w:tcW w:w="827" w:type="dxa"/>
            <w:vAlign w:val="center"/>
          </w:tcPr>
          <w:p w14:paraId="3168C253" w14:textId="77777777" w:rsidR="00E77D36" w:rsidRPr="00C1362F" w:rsidRDefault="00E77D36" w:rsidP="005B0B29">
            <w:pPr>
              <w:jc w:val="center"/>
            </w:pPr>
          </w:p>
        </w:tc>
        <w:tc>
          <w:tcPr>
            <w:tcW w:w="819" w:type="dxa"/>
            <w:vAlign w:val="center"/>
          </w:tcPr>
          <w:p w14:paraId="1AF3B083" w14:textId="77777777" w:rsidR="00E77D36" w:rsidRPr="00C1362F" w:rsidRDefault="00E77D36" w:rsidP="005B0B29">
            <w:pPr>
              <w:jc w:val="center"/>
            </w:pPr>
          </w:p>
        </w:tc>
      </w:tr>
      <w:tr w:rsidR="00E77D36" w:rsidRPr="00C1362F" w14:paraId="745D97D2" w14:textId="77777777" w:rsidTr="000D368A">
        <w:trPr>
          <w:jc w:val="center"/>
        </w:trPr>
        <w:tc>
          <w:tcPr>
            <w:tcW w:w="932" w:type="dxa"/>
            <w:vAlign w:val="center"/>
          </w:tcPr>
          <w:p w14:paraId="27EA69BC" w14:textId="77777777" w:rsidR="00E77D36" w:rsidRPr="00C1362F" w:rsidRDefault="00E77D36" w:rsidP="005B0B29">
            <w:pPr>
              <w:jc w:val="center"/>
            </w:pPr>
            <w:r w:rsidRPr="00C1362F">
              <w:t>ST</w:t>
            </w:r>
          </w:p>
        </w:tc>
        <w:tc>
          <w:tcPr>
            <w:tcW w:w="840" w:type="dxa"/>
            <w:vAlign w:val="center"/>
          </w:tcPr>
          <w:p w14:paraId="66E70AD7" w14:textId="77777777" w:rsidR="00E77D36" w:rsidRPr="00C1362F" w:rsidRDefault="00E77D36" w:rsidP="005B0B29">
            <w:pPr>
              <w:jc w:val="center"/>
            </w:pPr>
            <w:r w:rsidRPr="00C1362F">
              <w:t>-0.04</w:t>
            </w:r>
          </w:p>
        </w:tc>
        <w:tc>
          <w:tcPr>
            <w:tcW w:w="838" w:type="dxa"/>
            <w:vAlign w:val="center"/>
          </w:tcPr>
          <w:p w14:paraId="4897C720" w14:textId="77777777" w:rsidR="00E77D36" w:rsidRPr="00C1362F" w:rsidRDefault="00E77D36" w:rsidP="005B0B29">
            <w:pPr>
              <w:jc w:val="center"/>
            </w:pPr>
            <w:r w:rsidRPr="00C1362F">
              <w:t>0.10</w:t>
            </w:r>
            <w:r w:rsidRPr="00C1362F">
              <w:rPr>
                <w:vertAlign w:val="superscript"/>
              </w:rPr>
              <w:t>*</w:t>
            </w:r>
          </w:p>
        </w:tc>
        <w:tc>
          <w:tcPr>
            <w:tcW w:w="711" w:type="dxa"/>
          </w:tcPr>
          <w:p w14:paraId="01BEFB7C" w14:textId="77777777" w:rsidR="00E77D36" w:rsidRPr="00C1362F" w:rsidRDefault="00E77D36" w:rsidP="005B0B29">
            <w:pPr>
              <w:jc w:val="center"/>
            </w:pPr>
            <w:r w:rsidRPr="00C1362F">
              <w:t>-0.44</w:t>
            </w:r>
            <w:r w:rsidRPr="00C1362F">
              <w:rPr>
                <w:vertAlign w:val="superscript"/>
              </w:rPr>
              <w:t>*</w:t>
            </w:r>
          </w:p>
        </w:tc>
        <w:tc>
          <w:tcPr>
            <w:tcW w:w="838" w:type="dxa"/>
            <w:vAlign w:val="center"/>
          </w:tcPr>
          <w:p w14:paraId="16C263E5" w14:textId="77777777" w:rsidR="00E77D36" w:rsidRPr="00C1362F" w:rsidRDefault="00E77D36" w:rsidP="005B0B29">
            <w:pPr>
              <w:jc w:val="center"/>
            </w:pPr>
            <w:r w:rsidRPr="00C1362F">
              <w:t>-0.44</w:t>
            </w:r>
            <w:r w:rsidRPr="00C1362F">
              <w:rPr>
                <w:vertAlign w:val="superscript"/>
              </w:rPr>
              <w:t>*</w:t>
            </w:r>
          </w:p>
        </w:tc>
        <w:tc>
          <w:tcPr>
            <w:tcW w:w="1005" w:type="dxa"/>
            <w:vAlign w:val="center"/>
          </w:tcPr>
          <w:p w14:paraId="3A7F033D" w14:textId="77777777" w:rsidR="00E77D36" w:rsidRPr="00C1362F" w:rsidRDefault="00E77D36" w:rsidP="005B0B29">
            <w:pPr>
              <w:jc w:val="center"/>
            </w:pPr>
            <w:r w:rsidRPr="00C1362F">
              <w:t>-0.23</w:t>
            </w:r>
            <w:r w:rsidRPr="00C1362F">
              <w:rPr>
                <w:vertAlign w:val="superscript"/>
              </w:rPr>
              <w:t>*</w:t>
            </w:r>
          </w:p>
        </w:tc>
        <w:tc>
          <w:tcPr>
            <w:tcW w:w="998" w:type="dxa"/>
            <w:vAlign w:val="center"/>
          </w:tcPr>
          <w:p w14:paraId="35AC0ABC" w14:textId="77777777" w:rsidR="00E77D36" w:rsidRPr="00C1362F" w:rsidRDefault="00E77D36" w:rsidP="005B0B29">
            <w:pPr>
              <w:jc w:val="center"/>
            </w:pPr>
            <w:r w:rsidRPr="00C1362F">
              <w:t>-0.16</w:t>
            </w:r>
            <w:r w:rsidRPr="00C1362F">
              <w:rPr>
                <w:vertAlign w:val="superscript"/>
              </w:rPr>
              <w:t>*</w:t>
            </w:r>
          </w:p>
        </w:tc>
        <w:tc>
          <w:tcPr>
            <w:tcW w:w="759" w:type="dxa"/>
            <w:vAlign w:val="center"/>
          </w:tcPr>
          <w:p w14:paraId="2424A464" w14:textId="77777777" w:rsidR="00E77D36" w:rsidRPr="00C1362F" w:rsidRDefault="00E77D36" w:rsidP="005B0B29">
            <w:pPr>
              <w:jc w:val="center"/>
            </w:pPr>
            <w:r w:rsidRPr="00C1362F">
              <w:t>0.71</w:t>
            </w:r>
            <w:r w:rsidRPr="00C1362F">
              <w:rPr>
                <w:vertAlign w:val="superscript"/>
              </w:rPr>
              <w:t>*</w:t>
            </w:r>
          </w:p>
        </w:tc>
        <w:tc>
          <w:tcPr>
            <w:tcW w:w="793" w:type="dxa"/>
            <w:vAlign w:val="center"/>
          </w:tcPr>
          <w:p w14:paraId="2CC35EDB" w14:textId="77777777" w:rsidR="00E77D36" w:rsidRPr="00C1362F" w:rsidRDefault="00E77D36" w:rsidP="005B0B29">
            <w:pPr>
              <w:jc w:val="center"/>
            </w:pPr>
            <w:r w:rsidRPr="00C1362F">
              <w:t>1</w:t>
            </w:r>
          </w:p>
        </w:tc>
        <w:tc>
          <w:tcPr>
            <w:tcW w:w="827" w:type="dxa"/>
            <w:vAlign w:val="center"/>
          </w:tcPr>
          <w:p w14:paraId="5E1AB8D2" w14:textId="77777777" w:rsidR="00E77D36" w:rsidRPr="00C1362F" w:rsidRDefault="00E77D36" w:rsidP="005B0B29">
            <w:pPr>
              <w:jc w:val="center"/>
            </w:pPr>
          </w:p>
        </w:tc>
        <w:tc>
          <w:tcPr>
            <w:tcW w:w="819" w:type="dxa"/>
            <w:vAlign w:val="center"/>
          </w:tcPr>
          <w:p w14:paraId="42313225" w14:textId="77777777" w:rsidR="00E77D36" w:rsidRPr="00C1362F" w:rsidRDefault="00E77D36" w:rsidP="005B0B29">
            <w:pPr>
              <w:jc w:val="center"/>
            </w:pPr>
          </w:p>
        </w:tc>
      </w:tr>
      <w:tr w:rsidR="00E77D36" w:rsidRPr="00C1362F" w14:paraId="1EA15964" w14:textId="77777777" w:rsidTr="000D368A">
        <w:trPr>
          <w:jc w:val="center"/>
        </w:trPr>
        <w:tc>
          <w:tcPr>
            <w:tcW w:w="932" w:type="dxa"/>
            <w:vAlign w:val="center"/>
          </w:tcPr>
          <w:p w14:paraId="45964016" w14:textId="77777777" w:rsidR="00E77D36" w:rsidRPr="00C1362F" w:rsidRDefault="00E77D36" w:rsidP="005B0B29">
            <w:pPr>
              <w:jc w:val="center"/>
            </w:pPr>
            <w:r w:rsidRPr="00C1362F">
              <w:t>Clay</w:t>
            </w:r>
          </w:p>
        </w:tc>
        <w:tc>
          <w:tcPr>
            <w:tcW w:w="840" w:type="dxa"/>
            <w:vAlign w:val="center"/>
          </w:tcPr>
          <w:p w14:paraId="30255BF1" w14:textId="77777777" w:rsidR="00E77D36" w:rsidRPr="00C1362F" w:rsidRDefault="00E77D36" w:rsidP="005B0B29">
            <w:pPr>
              <w:jc w:val="center"/>
            </w:pPr>
            <w:r w:rsidRPr="00C1362F">
              <w:t>0.01</w:t>
            </w:r>
          </w:p>
        </w:tc>
        <w:tc>
          <w:tcPr>
            <w:tcW w:w="838" w:type="dxa"/>
            <w:vAlign w:val="center"/>
          </w:tcPr>
          <w:p w14:paraId="2444FF20" w14:textId="77777777" w:rsidR="00E77D36" w:rsidRPr="00C1362F" w:rsidRDefault="00E77D36" w:rsidP="005B0B29">
            <w:pPr>
              <w:jc w:val="center"/>
            </w:pPr>
            <w:r w:rsidRPr="00C1362F">
              <w:t>0.09</w:t>
            </w:r>
            <w:r w:rsidRPr="00C1362F">
              <w:rPr>
                <w:vertAlign w:val="superscript"/>
              </w:rPr>
              <w:t>*</w:t>
            </w:r>
          </w:p>
        </w:tc>
        <w:tc>
          <w:tcPr>
            <w:tcW w:w="711" w:type="dxa"/>
          </w:tcPr>
          <w:p w14:paraId="05FC288C" w14:textId="77777777" w:rsidR="00E77D36" w:rsidRPr="00C1362F" w:rsidRDefault="00E77D36" w:rsidP="005B0B29">
            <w:pPr>
              <w:jc w:val="center"/>
            </w:pPr>
            <w:r w:rsidRPr="00C1362F">
              <w:t>-0.01</w:t>
            </w:r>
            <w:r w:rsidRPr="00C1362F">
              <w:rPr>
                <w:vertAlign w:val="superscript"/>
              </w:rPr>
              <w:t>*</w:t>
            </w:r>
          </w:p>
        </w:tc>
        <w:tc>
          <w:tcPr>
            <w:tcW w:w="838" w:type="dxa"/>
            <w:vAlign w:val="center"/>
          </w:tcPr>
          <w:p w14:paraId="35AC45FF" w14:textId="77777777" w:rsidR="00E77D36" w:rsidRPr="00C1362F" w:rsidRDefault="00E77D36" w:rsidP="005B0B29">
            <w:pPr>
              <w:jc w:val="center"/>
            </w:pPr>
            <w:r w:rsidRPr="00C1362F">
              <w:t>-0.01</w:t>
            </w:r>
          </w:p>
        </w:tc>
        <w:tc>
          <w:tcPr>
            <w:tcW w:w="1005" w:type="dxa"/>
            <w:vAlign w:val="center"/>
          </w:tcPr>
          <w:p w14:paraId="2D0617E3" w14:textId="77777777" w:rsidR="00E77D36" w:rsidRPr="00C1362F" w:rsidRDefault="00E77D36" w:rsidP="005B0B29">
            <w:pPr>
              <w:jc w:val="center"/>
            </w:pPr>
            <w:r w:rsidRPr="00C1362F">
              <w:t>0.10</w:t>
            </w:r>
            <w:r w:rsidRPr="00C1362F">
              <w:rPr>
                <w:vertAlign w:val="superscript"/>
              </w:rPr>
              <w:t>*</w:t>
            </w:r>
          </w:p>
        </w:tc>
        <w:tc>
          <w:tcPr>
            <w:tcW w:w="998" w:type="dxa"/>
            <w:vAlign w:val="center"/>
          </w:tcPr>
          <w:p w14:paraId="5DCF278B" w14:textId="77777777" w:rsidR="00E77D36" w:rsidRPr="00C1362F" w:rsidRDefault="00E77D36" w:rsidP="005B0B29">
            <w:pPr>
              <w:jc w:val="center"/>
            </w:pPr>
            <w:r w:rsidRPr="00C1362F">
              <w:t>0.11</w:t>
            </w:r>
            <w:r w:rsidRPr="00C1362F">
              <w:rPr>
                <w:vertAlign w:val="superscript"/>
              </w:rPr>
              <w:t>*</w:t>
            </w:r>
          </w:p>
        </w:tc>
        <w:tc>
          <w:tcPr>
            <w:tcW w:w="759" w:type="dxa"/>
            <w:vAlign w:val="center"/>
          </w:tcPr>
          <w:p w14:paraId="6F2CF5A8" w14:textId="77777777" w:rsidR="00E77D36" w:rsidRPr="00C1362F" w:rsidRDefault="00E77D36" w:rsidP="005B0B29">
            <w:pPr>
              <w:jc w:val="center"/>
            </w:pPr>
            <w:r w:rsidRPr="00C1362F">
              <w:t>0.09</w:t>
            </w:r>
            <w:r w:rsidRPr="00C1362F">
              <w:rPr>
                <w:vertAlign w:val="superscript"/>
              </w:rPr>
              <w:t>*</w:t>
            </w:r>
          </w:p>
        </w:tc>
        <w:tc>
          <w:tcPr>
            <w:tcW w:w="793" w:type="dxa"/>
            <w:vAlign w:val="center"/>
          </w:tcPr>
          <w:p w14:paraId="2AD91908" w14:textId="77777777" w:rsidR="00E77D36" w:rsidRPr="00C1362F" w:rsidRDefault="00E77D36" w:rsidP="005B0B29">
            <w:pPr>
              <w:jc w:val="center"/>
            </w:pPr>
            <w:r w:rsidRPr="00C1362F">
              <w:t>0.17</w:t>
            </w:r>
            <w:r w:rsidRPr="00C1362F">
              <w:rPr>
                <w:vertAlign w:val="superscript"/>
              </w:rPr>
              <w:t>*</w:t>
            </w:r>
          </w:p>
        </w:tc>
        <w:tc>
          <w:tcPr>
            <w:tcW w:w="827" w:type="dxa"/>
            <w:vAlign w:val="center"/>
          </w:tcPr>
          <w:p w14:paraId="65A20A11" w14:textId="77777777" w:rsidR="00E77D36" w:rsidRPr="00C1362F" w:rsidRDefault="00E77D36" w:rsidP="005B0B29">
            <w:pPr>
              <w:jc w:val="center"/>
            </w:pPr>
            <w:r w:rsidRPr="00C1362F">
              <w:t>1</w:t>
            </w:r>
          </w:p>
        </w:tc>
        <w:tc>
          <w:tcPr>
            <w:tcW w:w="819" w:type="dxa"/>
            <w:vAlign w:val="center"/>
          </w:tcPr>
          <w:p w14:paraId="146916EE" w14:textId="77777777" w:rsidR="00E77D36" w:rsidRPr="00C1362F" w:rsidRDefault="00E77D36" w:rsidP="005B0B29">
            <w:pPr>
              <w:jc w:val="center"/>
            </w:pPr>
          </w:p>
        </w:tc>
      </w:tr>
      <w:tr w:rsidR="00E77D36" w:rsidRPr="00C1362F" w14:paraId="18794A2B" w14:textId="77777777" w:rsidTr="000D368A">
        <w:trPr>
          <w:jc w:val="center"/>
        </w:trPr>
        <w:tc>
          <w:tcPr>
            <w:tcW w:w="932" w:type="dxa"/>
            <w:vAlign w:val="center"/>
          </w:tcPr>
          <w:p w14:paraId="2EEF1C42" w14:textId="77777777" w:rsidR="00E77D36" w:rsidRPr="00C1362F" w:rsidRDefault="00E77D36" w:rsidP="005B0B29">
            <w:pPr>
              <w:jc w:val="center"/>
            </w:pPr>
            <w:r w:rsidRPr="00C1362F">
              <w:t>fPAR</w:t>
            </w:r>
          </w:p>
        </w:tc>
        <w:tc>
          <w:tcPr>
            <w:tcW w:w="840" w:type="dxa"/>
            <w:vAlign w:val="center"/>
          </w:tcPr>
          <w:p w14:paraId="261BDC08" w14:textId="77777777" w:rsidR="00E77D36" w:rsidRPr="00C1362F" w:rsidRDefault="00E77D36" w:rsidP="005B0B29">
            <w:pPr>
              <w:jc w:val="center"/>
            </w:pPr>
            <w:r w:rsidRPr="00C1362F">
              <w:t>0.20</w:t>
            </w:r>
            <w:r w:rsidRPr="00C1362F">
              <w:rPr>
                <w:vertAlign w:val="superscript"/>
              </w:rPr>
              <w:t>*</w:t>
            </w:r>
          </w:p>
        </w:tc>
        <w:tc>
          <w:tcPr>
            <w:tcW w:w="838" w:type="dxa"/>
            <w:vAlign w:val="center"/>
          </w:tcPr>
          <w:p w14:paraId="15D4E065" w14:textId="77777777" w:rsidR="00E77D36" w:rsidRPr="00C1362F" w:rsidRDefault="00E77D36" w:rsidP="005B0B29">
            <w:pPr>
              <w:jc w:val="center"/>
            </w:pPr>
            <w:r w:rsidRPr="00C1362F">
              <w:t>0.88</w:t>
            </w:r>
            <w:r w:rsidRPr="00C1362F">
              <w:rPr>
                <w:vertAlign w:val="superscript"/>
              </w:rPr>
              <w:t>*</w:t>
            </w:r>
          </w:p>
        </w:tc>
        <w:tc>
          <w:tcPr>
            <w:tcW w:w="711" w:type="dxa"/>
          </w:tcPr>
          <w:p w14:paraId="22B15317" w14:textId="77777777" w:rsidR="00E77D36" w:rsidRPr="00C1362F" w:rsidRDefault="00E77D36" w:rsidP="005B0B29">
            <w:pPr>
              <w:jc w:val="center"/>
            </w:pPr>
            <w:r w:rsidRPr="00C1362F">
              <w:t>0.56</w:t>
            </w:r>
            <w:r w:rsidRPr="00C1362F">
              <w:rPr>
                <w:vertAlign w:val="superscript"/>
              </w:rPr>
              <w:t>*</w:t>
            </w:r>
          </w:p>
        </w:tc>
        <w:tc>
          <w:tcPr>
            <w:tcW w:w="838" w:type="dxa"/>
            <w:vAlign w:val="center"/>
          </w:tcPr>
          <w:p w14:paraId="07CD6F60" w14:textId="77777777" w:rsidR="00E77D36" w:rsidRPr="00C1362F" w:rsidRDefault="00E77D36" w:rsidP="005B0B29">
            <w:pPr>
              <w:jc w:val="center"/>
            </w:pPr>
            <w:r w:rsidRPr="00C1362F">
              <w:t>0.56</w:t>
            </w:r>
            <w:r w:rsidRPr="00C1362F">
              <w:rPr>
                <w:vertAlign w:val="superscript"/>
              </w:rPr>
              <w:t>*</w:t>
            </w:r>
          </w:p>
        </w:tc>
        <w:tc>
          <w:tcPr>
            <w:tcW w:w="1005" w:type="dxa"/>
            <w:vAlign w:val="center"/>
          </w:tcPr>
          <w:p w14:paraId="6F367D6E" w14:textId="77777777" w:rsidR="00E77D36" w:rsidRPr="00C1362F" w:rsidRDefault="00E77D36" w:rsidP="005B0B29">
            <w:pPr>
              <w:jc w:val="center"/>
            </w:pPr>
            <w:r w:rsidRPr="00C1362F">
              <w:t>0.62</w:t>
            </w:r>
            <w:r w:rsidRPr="00C1362F">
              <w:rPr>
                <w:vertAlign w:val="superscript"/>
              </w:rPr>
              <w:t>*</w:t>
            </w:r>
          </w:p>
        </w:tc>
        <w:tc>
          <w:tcPr>
            <w:tcW w:w="998" w:type="dxa"/>
            <w:vAlign w:val="center"/>
          </w:tcPr>
          <w:p w14:paraId="1876D0B6" w14:textId="77777777" w:rsidR="00E77D36" w:rsidRPr="00C1362F" w:rsidRDefault="00E77D36" w:rsidP="005B0B29">
            <w:pPr>
              <w:jc w:val="center"/>
            </w:pPr>
            <w:r w:rsidRPr="00C1362F">
              <w:t>0.62</w:t>
            </w:r>
            <w:r w:rsidRPr="00C1362F">
              <w:rPr>
                <w:vertAlign w:val="superscript"/>
              </w:rPr>
              <w:t>*</w:t>
            </w:r>
          </w:p>
        </w:tc>
        <w:tc>
          <w:tcPr>
            <w:tcW w:w="759" w:type="dxa"/>
            <w:vAlign w:val="center"/>
          </w:tcPr>
          <w:p w14:paraId="21319163" w14:textId="77777777" w:rsidR="00E77D36" w:rsidRPr="00C1362F" w:rsidRDefault="00E77D36" w:rsidP="005B0B29">
            <w:pPr>
              <w:jc w:val="center"/>
            </w:pPr>
            <w:r w:rsidRPr="00C1362F">
              <w:t>-0.50</w:t>
            </w:r>
            <w:r w:rsidRPr="00C1362F">
              <w:rPr>
                <w:vertAlign w:val="superscript"/>
              </w:rPr>
              <w:t>*</w:t>
            </w:r>
          </w:p>
        </w:tc>
        <w:tc>
          <w:tcPr>
            <w:tcW w:w="793" w:type="dxa"/>
            <w:vAlign w:val="center"/>
          </w:tcPr>
          <w:p w14:paraId="05A35072" w14:textId="77777777" w:rsidR="00E77D36" w:rsidRPr="00C1362F" w:rsidRDefault="00E77D36" w:rsidP="005B0B29">
            <w:pPr>
              <w:jc w:val="center"/>
            </w:pPr>
            <w:r w:rsidRPr="00C1362F">
              <w:t>-0.07</w:t>
            </w:r>
            <w:r w:rsidRPr="00C1362F">
              <w:rPr>
                <w:vertAlign w:val="superscript"/>
              </w:rPr>
              <w:t>*</w:t>
            </w:r>
          </w:p>
        </w:tc>
        <w:tc>
          <w:tcPr>
            <w:tcW w:w="827" w:type="dxa"/>
            <w:vAlign w:val="center"/>
          </w:tcPr>
          <w:p w14:paraId="6551D1D8" w14:textId="77777777" w:rsidR="00E77D36" w:rsidRPr="00C1362F" w:rsidRDefault="00E77D36" w:rsidP="005B0B29">
            <w:pPr>
              <w:jc w:val="center"/>
            </w:pPr>
            <w:r w:rsidRPr="00C1362F">
              <w:t>-0.03</w:t>
            </w:r>
          </w:p>
        </w:tc>
        <w:tc>
          <w:tcPr>
            <w:tcW w:w="819" w:type="dxa"/>
            <w:vAlign w:val="center"/>
          </w:tcPr>
          <w:p w14:paraId="0EEC40A9" w14:textId="77777777" w:rsidR="00E77D36" w:rsidRPr="00C1362F" w:rsidRDefault="00E77D36" w:rsidP="005B0B29">
            <w:pPr>
              <w:jc w:val="center"/>
            </w:pPr>
            <w:r w:rsidRPr="00C1362F">
              <w:t>1</w:t>
            </w:r>
          </w:p>
        </w:tc>
      </w:tr>
    </w:tbl>
    <w:p w14:paraId="001F24FF" w14:textId="77777777" w:rsidR="00E77D36" w:rsidRPr="00C1362F" w:rsidRDefault="00E77D36" w:rsidP="005B0B29">
      <w:pPr>
        <w:jc w:val="both"/>
      </w:pPr>
      <w:r w:rsidRPr="00C1362F">
        <w:rPr>
          <w:vertAlign w:val="superscript"/>
        </w:rPr>
        <w:t>*</w:t>
      </w:r>
      <w:r w:rsidRPr="00C1362F">
        <w:t xml:space="preserve"> The correlation is significant at </w:t>
      </w:r>
      <w:r w:rsidRPr="00C1362F">
        <w:rPr>
          <w:i/>
          <w:iCs/>
        </w:rPr>
        <w:t>P</w:t>
      </w:r>
      <w:r w:rsidRPr="00C1362F">
        <w:t xml:space="preserve"> &lt; 0.05. </w:t>
      </w:r>
    </w:p>
    <w:p w14:paraId="45DB0827" w14:textId="77777777" w:rsidR="00E77D36" w:rsidRPr="00C1362F" w:rsidRDefault="00E77D36" w:rsidP="00E77D36">
      <w:pPr>
        <w:spacing w:before="120"/>
        <w:jc w:val="both"/>
        <w:rPr>
          <w:rFonts w:eastAsia="SimSun"/>
          <w:bCs/>
          <w:sz w:val="24"/>
          <w:szCs w:val="24"/>
        </w:rPr>
      </w:pPr>
    </w:p>
    <w:p w14:paraId="7ED49EE0" w14:textId="77777777" w:rsidR="00E77D36" w:rsidRPr="00C1362F" w:rsidRDefault="00E77D36" w:rsidP="008A5615">
      <w:pPr>
        <w:spacing w:before="120"/>
        <w:ind w:firstLine="720"/>
        <w:jc w:val="both"/>
        <w:rPr>
          <w:rFonts w:eastAsia="SimSun"/>
          <w:bCs/>
          <w:sz w:val="24"/>
          <w:szCs w:val="24"/>
        </w:rPr>
      </w:pPr>
      <w:r>
        <w:rPr>
          <w:rFonts w:eastAsia="SimSun"/>
          <w:bCs/>
          <w:sz w:val="24"/>
          <w:szCs w:val="24"/>
        </w:rPr>
        <w:t xml:space="preserve">The </w:t>
      </w:r>
      <w:r w:rsidRPr="00C1362F">
        <w:rPr>
          <w:rFonts w:eastAsia="SimSun"/>
          <w:bCs/>
          <w:sz w:val="24"/>
          <w:szCs w:val="24"/>
        </w:rPr>
        <w:t xml:space="preserve">RCTM simulation was carried out to explore temporal patterns of C fluxes and SOC over the period </w:t>
      </w:r>
      <w:r>
        <w:rPr>
          <w:rFonts w:eastAsia="SimSun"/>
          <w:bCs/>
          <w:sz w:val="24"/>
          <w:szCs w:val="24"/>
        </w:rPr>
        <w:t>from</w:t>
      </w:r>
      <w:r w:rsidRPr="00C1362F">
        <w:rPr>
          <w:rFonts w:eastAsia="SimSun"/>
          <w:bCs/>
          <w:sz w:val="24"/>
          <w:szCs w:val="24"/>
        </w:rPr>
        <w:t xml:space="preserve"> 2003 </w:t>
      </w:r>
      <w:r>
        <w:rPr>
          <w:rFonts w:eastAsia="SimSun"/>
          <w:bCs/>
          <w:sz w:val="24"/>
          <w:szCs w:val="24"/>
        </w:rPr>
        <w:t>to</w:t>
      </w:r>
      <w:r w:rsidRPr="00C1362F">
        <w:rPr>
          <w:rFonts w:eastAsia="SimSun"/>
          <w:bCs/>
          <w:sz w:val="24"/>
          <w:szCs w:val="24"/>
        </w:rPr>
        <w:t xml:space="preserve"> 2022 influenced by </w:t>
      </w:r>
      <w:r>
        <w:rPr>
          <w:rFonts w:eastAsia="SimSun"/>
          <w:bCs/>
          <w:sz w:val="24"/>
          <w:szCs w:val="24"/>
        </w:rPr>
        <w:t>vegetation types</w:t>
      </w:r>
      <w:r w:rsidRPr="00C1362F">
        <w:rPr>
          <w:rFonts w:eastAsia="SimSun"/>
          <w:bCs/>
          <w:sz w:val="24"/>
          <w:szCs w:val="24"/>
        </w:rPr>
        <w:t xml:space="preserve"> and</w:t>
      </w:r>
      <w:r>
        <w:rPr>
          <w:rFonts w:eastAsia="SimSun"/>
          <w:bCs/>
          <w:sz w:val="24"/>
          <w:szCs w:val="24"/>
        </w:rPr>
        <w:t xml:space="preserve"> geographic</w:t>
      </w:r>
      <w:r w:rsidRPr="00C1362F">
        <w:rPr>
          <w:rFonts w:eastAsia="SimSun"/>
          <w:bCs/>
          <w:sz w:val="24"/>
          <w:szCs w:val="24"/>
        </w:rPr>
        <w:t xml:space="preserve"> regions. It appears that both GPP and SOC stocks showed an increasing trend for Ameriflux and NEON sites grouped in perennial and/or annual grass, </w:t>
      </w:r>
      <w:r w:rsidRPr="00C1362F">
        <w:rPr>
          <w:rFonts w:eastAsia="Arial"/>
          <w:sz w:val="24"/>
        </w:rPr>
        <w:t>managed hay and pasture</w:t>
      </w:r>
      <w:r w:rsidRPr="00C1362F">
        <w:rPr>
          <w:rFonts w:eastAsia="SimSun"/>
          <w:bCs/>
          <w:sz w:val="24"/>
          <w:szCs w:val="24"/>
        </w:rPr>
        <w:t>, and grass-shrub mixture classes (Fig. 7). According to model simulation results, surface SOC stocks increased by 4.7, 6.2, and 8.4 g C m</w:t>
      </w:r>
      <w:r w:rsidRPr="00C1362F">
        <w:rPr>
          <w:rFonts w:eastAsia="SimSun"/>
          <w:bCs/>
          <w:sz w:val="24"/>
          <w:szCs w:val="24"/>
          <w:vertAlign w:val="superscript"/>
        </w:rPr>
        <w:t>-2</w:t>
      </w:r>
      <w:r w:rsidRPr="00C1362F">
        <w:rPr>
          <w:rFonts w:eastAsia="SimSun"/>
          <w:bCs/>
          <w:sz w:val="24"/>
          <w:szCs w:val="24"/>
        </w:rPr>
        <w:t xml:space="preserve"> year</w:t>
      </w:r>
      <w:r w:rsidRPr="00C1362F">
        <w:rPr>
          <w:rFonts w:eastAsia="SimSun"/>
          <w:bCs/>
          <w:sz w:val="24"/>
          <w:szCs w:val="24"/>
          <w:vertAlign w:val="superscript"/>
        </w:rPr>
        <w:t>-1</w:t>
      </w:r>
      <w:r w:rsidRPr="00C1362F">
        <w:rPr>
          <w:rFonts w:eastAsia="SimSun"/>
          <w:bCs/>
          <w:sz w:val="24"/>
          <w:szCs w:val="24"/>
        </w:rPr>
        <w:t xml:space="preserve">, for perennial and/or annual grass, </w:t>
      </w:r>
      <w:r w:rsidRPr="00C1362F">
        <w:rPr>
          <w:rFonts w:eastAsia="Arial"/>
          <w:sz w:val="24"/>
        </w:rPr>
        <w:t>managed hay and pasture</w:t>
      </w:r>
      <w:r w:rsidRPr="00C1362F">
        <w:rPr>
          <w:rFonts w:eastAsia="SimSun"/>
          <w:bCs/>
          <w:sz w:val="24"/>
          <w:szCs w:val="24"/>
        </w:rPr>
        <w:t>, and grass-shrub mixture sites, respectively (SI: Appendix B). Similar trends in SOC sequestration were simulated for the</w:t>
      </w:r>
      <w:r w:rsidRPr="00C1362F">
        <w:rPr>
          <w:rFonts w:eastAsia="Arial"/>
          <w:sz w:val="24"/>
        </w:rPr>
        <w:t xml:space="preserve"> majority of the USDA agricultural regions </w:t>
      </w:r>
      <w:r w:rsidRPr="00C1362F">
        <w:rPr>
          <w:rFonts w:eastAsia="Arial"/>
          <w:sz w:val="24"/>
        </w:rPr>
        <w:fldChar w:fldCharType="begin" w:fldLock="1"/>
      </w:r>
      <w:r w:rsidRPr="00C1362F">
        <w:rPr>
          <w:rFonts w:eastAsia="Arial"/>
          <w:sz w:val="24"/>
        </w:rPr>
        <w:instrText>ADDIN CSL_CITATION {"citationItems":[{"id":"ITEM-1","itemData":{"DOI":"10.5194/bg-9-4023-2012","ISSN":"17264170","abstract":"While nitrogen (N) is an essential element for life, human population growth and demands for energy, transportation and food can lead to excess nitrogen in the environment. A modeling framework is described and implemented to promote a more integrated, process-based and system-level approach to the estimation of ammonia (NH3) emissions which result from the application of inorganic nitrogen fertilizers to agricultural soils in the United States. The United States Department of Agriculture (USDA) Environmental Policy Integrated Climate (EPIC) model is used to simulate plant demand-driven fertilizer applications to commercial cropland throughout the continental US. This information is coupled with a process-based air quality model to produce continental-scale NH 3 emission estimates. Regional cropland NH 3 emissions are driven by the timing and amount of inorganic NH 3 fertilizer applied, soil processes, local meteorology, and ambient air concentrations. Initial fertilizer application often occurs when crops are planted. A state-level evaluation of EPIC-simulated, cumulative planted area compares well with similar USDA reported estimates. EPIC-annual, inorganic fertilizer application amounts also agree well with reported spatial patterns produced by others, but domain-wide the EPIC values are biased about 6% low. Preliminary application of the integrated fertilizer application and air quality modeling system produces a modified geospatial pattern of seasonal NH3 emissions that improves current simulations of observed atmospheric particle nitrate concentrations. This modeling framework provides a more dynamic, flexible, and spatially and temporally resolved estimate of NH 3 emissions than previous factor-based NH 3 inventories, and will facilitate evaluation of alternative nitrogen and air quality policy and adaptation strategies associated with future climate and land use changes. © Author(s) 2012.","author":[{"dropping-particle":"","family":"Cooter","given":"E. J.","non-dropping-particle":"","parse-names":false,"suffix":""},{"dropping-particle":"","family":"Bash","given":"J. O.","non-dropping-particle":"","parse-names":false,"suffix":""},{"dropping-particle":"","family":"Benson","given":"V.","non-dropping-particle":"","parse-names":false,"suffix":""},{"dropping-particle":"","family":"Ran","given":"L.","non-dropping-particle":"","parse-names":false,"suffix":""}],"container-title":"Biogeosciences","id":"ITEM-1","issue":"10","issued":{"date-parts":[["2012"]]},"page":"4023-4035","title":"Linking agricultural crop management and air quality models for regional to national-scale nitrogen assessments","type":"article-journal","volume":"9"},"uris":["http://www.mendeley.com/documents/?uuid=e68bf096-b6b7-4b05-b9e0-77cec73fedcc"]}],"mendeley":{"formattedCitation":"(Cooter et al., 2012)","plainTextFormattedCitation":"(Cooter et al., 2012)","previouslyFormattedCitation":"(Cooter et al., 2012)"},"properties":{"noteIndex":0},"schema":"https://github.com/citation-style-language/schema/raw/master/csl-citation.json"}</w:instrText>
      </w:r>
      <w:r w:rsidRPr="00C1362F">
        <w:rPr>
          <w:rFonts w:eastAsia="Arial"/>
          <w:sz w:val="24"/>
        </w:rPr>
        <w:fldChar w:fldCharType="separate"/>
      </w:r>
      <w:r w:rsidRPr="00C1362F">
        <w:rPr>
          <w:rFonts w:eastAsia="Arial"/>
          <w:noProof/>
          <w:sz w:val="24"/>
        </w:rPr>
        <w:t>(Cooter et al., 2012)</w:t>
      </w:r>
      <w:r w:rsidRPr="00C1362F">
        <w:rPr>
          <w:rFonts w:eastAsia="Arial"/>
          <w:sz w:val="24"/>
        </w:rPr>
        <w:fldChar w:fldCharType="end"/>
      </w:r>
      <w:r w:rsidRPr="00C1362F">
        <w:rPr>
          <w:rFonts w:eastAsia="Arial"/>
          <w:sz w:val="24"/>
        </w:rPr>
        <w:t xml:space="preserve">, including </w:t>
      </w:r>
      <w:r w:rsidRPr="00C1362F">
        <w:rPr>
          <w:rFonts w:eastAsia="SimSun"/>
          <w:bCs/>
          <w:sz w:val="24"/>
          <w:szCs w:val="24"/>
        </w:rPr>
        <w:t>Northern Great Plains (6.2 g C m</w:t>
      </w:r>
      <w:r w:rsidRPr="00C1362F">
        <w:rPr>
          <w:rFonts w:eastAsia="SimSun"/>
          <w:bCs/>
          <w:sz w:val="24"/>
          <w:szCs w:val="24"/>
          <w:vertAlign w:val="superscript"/>
        </w:rPr>
        <w:t>-2</w:t>
      </w:r>
      <w:r w:rsidRPr="00C1362F">
        <w:rPr>
          <w:rFonts w:eastAsia="SimSun"/>
          <w:bCs/>
          <w:sz w:val="24"/>
          <w:szCs w:val="24"/>
        </w:rPr>
        <w:t xml:space="preserve"> year</w:t>
      </w:r>
      <w:r w:rsidRPr="00C1362F">
        <w:rPr>
          <w:rFonts w:eastAsia="SimSun"/>
          <w:bCs/>
          <w:sz w:val="24"/>
          <w:szCs w:val="24"/>
          <w:vertAlign w:val="superscript"/>
        </w:rPr>
        <w:t>-1</w:t>
      </w:r>
      <w:r w:rsidRPr="00C1362F">
        <w:rPr>
          <w:rFonts w:eastAsia="SimSun"/>
          <w:bCs/>
          <w:sz w:val="24"/>
          <w:szCs w:val="24"/>
        </w:rPr>
        <w:t>), Southern Great Plains (6.2 g C m</w:t>
      </w:r>
      <w:r w:rsidRPr="00C1362F">
        <w:rPr>
          <w:rFonts w:eastAsia="SimSun"/>
          <w:bCs/>
          <w:sz w:val="24"/>
          <w:szCs w:val="24"/>
          <w:vertAlign w:val="superscript"/>
        </w:rPr>
        <w:t>-2</w:t>
      </w:r>
      <w:r w:rsidRPr="00C1362F">
        <w:rPr>
          <w:rFonts w:eastAsia="SimSun"/>
          <w:bCs/>
          <w:sz w:val="24"/>
          <w:szCs w:val="24"/>
        </w:rPr>
        <w:t xml:space="preserve"> year</w:t>
      </w:r>
      <w:r w:rsidRPr="00C1362F">
        <w:rPr>
          <w:rFonts w:eastAsia="SimSun"/>
          <w:bCs/>
          <w:sz w:val="24"/>
          <w:szCs w:val="24"/>
          <w:vertAlign w:val="superscript"/>
        </w:rPr>
        <w:t>-1</w:t>
      </w:r>
      <w:r w:rsidRPr="00C1362F">
        <w:rPr>
          <w:rFonts w:eastAsia="SimSun"/>
          <w:bCs/>
          <w:sz w:val="24"/>
          <w:szCs w:val="24"/>
        </w:rPr>
        <w:t>), Mountain regions (6.7 g C m</w:t>
      </w:r>
      <w:r w:rsidRPr="00C1362F">
        <w:rPr>
          <w:rFonts w:eastAsia="SimSun"/>
          <w:bCs/>
          <w:sz w:val="24"/>
          <w:szCs w:val="24"/>
          <w:vertAlign w:val="superscript"/>
        </w:rPr>
        <w:t>-2</w:t>
      </w:r>
      <w:r w:rsidRPr="00C1362F">
        <w:rPr>
          <w:rFonts w:eastAsia="SimSun"/>
          <w:bCs/>
          <w:sz w:val="24"/>
          <w:szCs w:val="24"/>
        </w:rPr>
        <w:t xml:space="preserve"> year</w:t>
      </w:r>
      <w:r w:rsidRPr="00C1362F">
        <w:rPr>
          <w:rFonts w:eastAsia="SimSun"/>
          <w:bCs/>
          <w:sz w:val="24"/>
          <w:szCs w:val="24"/>
          <w:vertAlign w:val="superscript"/>
        </w:rPr>
        <w:t>-1</w:t>
      </w:r>
      <w:r w:rsidRPr="00C1362F">
        <w:rPr>
          <w:rFonts w:eastAsia="SimSun"/>
          <w:bCs/>
          <w:sz w:val="24"/>
          <w:szCs w:val="24"/>
        </w:rPr>
        <w:t>), and Midwest (10 g C m</w:t>
      </w:r>
      <w:r w:rsidRPr="00C1362F">
        <w:rPr>
          <w:rFonts w:eastAsia="SimSun"/>
          <w:bCs/>
          <w:sz w:val="24"/>
          <w:szCs w:val="24"/>
          <w:vertAlign w:val="superscript"/>
        </w:rPr>
        <w:t>-2</w:t>
      </w:r>
      <w:r w:rsidRPr="00C1362F">
        <w:rPr>
          <w:rFonts w:eastAsia="SimSun"/>
          <w:bCs/>
          <w:sz w:val="24"/>
          <w:szCs w:val="24"/>
        </w:rPr>
        <w:t xml:space="preserve"> year</w:t>
      </w:r>
      <w:r w:rsidRPr="00C1362F">
        <w:rPr>
          <w:rFonts w:eastAsia="SimSun"/>
          <w:bCs/>
          <w:sz w:val="24"/>
          <w:szCs w:val="24"/>
          <w:vertAlign w:val="superscript"/>
        </w:rPr>
        <w:t>-1</w:t>
      </w:r>
      <w:r w:rsidRPr="00C1362F">
        <w:rPr>
          <w:rFonts w:eastAsia="SimSun"/>
          <w:bCs/>
          <w:sz w:val="24"/>
          <w:szCs w:val="24"/>
        </w:rPr>
        <w:t xml:space="preserve">), which are tied to </w:t>
      </w:r>
      <w:r>
        <w:rPr>
          <w:rFonts w:eastAsia="SimSun"/>
          <w:bCs/>
          <w:sz w:val="24"/>
          <w:szCs w:val="24"/>
        </w:rPr>
        <w:t xml:space="preserve">an </w:t>
      </w:r>
      <w:r w:rsidRPr="00C1362F">
        <w:rPr>
          <w:rFonts w:eastAsia="SimSun"/>
          <w:bCs/>
          <w:sz w:val="24"/>
          <w:szCs w:val="24"/>
        </w:rPr>
        <w:t>increase in GPP over time (</w:t>
      </w:r>
      <w:r>
        <w:rPr>
          <w:rFonts w:eastAsia="SimSun"/>
          <w:bCs/>
          <w:sz w:val="24"/>
          <w:szCs w:val="24"/>
        </w:rPr>
        <w:t xml:space="preserve">SI: </w:t>
      </w:r>
      <w:r w:rsidRPr="00C1362F">
        <w:rPr>
          <w:rFonts w:eastAsia="SimSun"/>
          <w:bCs/>
          <w:sz w:val="24"/>
          <w:szCs w:val="24"/>
        </w:rPr>
        <w:t xml:space="preserve">Fig. </w:t>
      </w:r>
      <w:r>
        <w:rPr>
          <w:rFonts w:eastAsia="SimSun"/>
          <w:bCs/>
          <w:sz w:val="24"/>
          <w:szCs w:val="24"/>
        </w:rPr>
        <w:t>E1</w:t>
      </w:r>
      <w:r w:rsidRPr="00C1362F">
        <w:rPr>
          <w:rFonts w:eastAsia="SimSun"/>
          <w:bCs/>
          <w:sz w:val="24"/>
          <w:szCs w:val="24"/>
        </w:rPr>
        <w:t>). For individual Ameriflux/NEON sites, RCTM simulated a significant (</w:t>
      </w:r>
      <w:r w:rsidRPr="00C1362F">
        <w:rPr>
          <w:rFonts w:eastAsia="SimSun"/>
          <w:bCs/>
          <w:i/>
          <w:iCs/>
          <w:sz w:val="24"/>
          <w:szCs w:val="24"/>
        </w:rPr>
        <w:t>P</w:t>
      </w:r>
      <w:r w:rsidRPr="00C1362F">
        <w:rPr>
          <w:rFonts w:eastAsia="SimSun"/>
          <w:bCs/>
          <w:sz w:val="24"/>
          <w:szCs w:val="24"/>
        </w:rPr>
        <w:t xml:space="preserve"> &lt; 0.05) increase trend in surface SOC stocks for the majority (69%) of the sites, with a smaller percentage (13%) associated with SOC decrease (SI: Table B3). While </w:t>
      </w:r>
      <w:r>
        <w:rPr>
          <w:rFonts w:eastAsia="SimSun"/>
          <w:bCs/>
          <w:sz w:val="24"/>
          <w:szCs w:val="24"/>
        </w:rPr>
        <w:t xml:space="preserve">a </w:t>
      </w:r>
      <w:r w:rsidRPr="00C1362F">
        <w:rPr>
          <w:rFonts w:eastAsia="SimSun"/>
          <w:bCs/>
          <w:sz w:val="24"/>
          <w:szCs w:val="24"/>
        </w:rPr>
        <w:t xml:space="preserve">GPP increase was simulated for 80% of the sites, the increase was found to be significant for only 16% of them. </w:t>
      </w:r>
      <w:r>
        <w:rPr>
          <w:rFonts w:eastAsia="SimSun"/>
          <w:bCs/>
          <w:sz w:val="24"/>
          <w:szCs w:val="24"/>
        </w:rPr>
        <w:t xml:space="preserve">The most significant increases were found in </w:t>
      </w:r>
      <w:r w:rsidRPr="000827A4">
        <w:rPr>
          <w:rFonts w:eastAsia="SimSun"/>
          <w:bCs/>
          <w:sz w:val="24"/>
          <w:szCs w:val="24"/>
        </w:rPr>
        <w:t>Kellogg Biological Station</w:t>
      </w:r>
      <w:r>
        <w:rPr>
          <w:rFonts w:eastAsia="SimSun"/>
          <w:bCs/>
          <w:sz w:val="24"/>
          <w:szCs w:val="24"/>
        </w:rPr>
        <w:t xml:space="preserve"> sites in Michigan. </w:t>
      </w:r>
    </w:p>
    <w:p w14:paraId="3DDFF661" w14:textId="162766AC" w:rsidR="00E77D36" w:rsidRPr="00C1362F" w:rsidRDefault="003F0387" w:rsidP="00E77D36">
      <w:pPr>
        <w:spacing w:before="120"/>
        <w:jc w:val="center"/>
      </w:pPr>
      <w:bookmarkStart w:id="18" w:name="_Hlk152348783"/>
      <w:r>
        <w:rPr>
          <w:rFonts w:eastAsia="Arial"/>
          <w:noProof/>
          <w:sz w:val="24"/>
        </w:rPr>
        <w:lastRenderedPageBreak/>
        <w:drawing>
          <wp:inline distT="0" distB="0" distL="0" distR="0" wp14:anchorId="326D7361" wp14:editId="4431CE1F">
            <wp:extent cx="5941060" cy="5351764"/>
            <wp:effectExtent l="0" t="0" r="2540" b="1905"/>
            <wp:docPr id="11466826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a:ext>
                      </a:extLst>
                    </a:blip>
                    <a:srcRect/>
                    <a:stretch/>
                  </pic:blipFill>
                  <pic:spPr bwMode="auto">
                    <a:xfrm>
                      <a:off x="0" y="0"/>
                      <a:ext cx="5941060" cy="5351764"/>
                    </a:xfrm>
                    <a:prstGeom prst="rect">
                      <a:avLst/>
                    </a:prstGeom>
                    <a:noFill/>
                    <a:ln>
                      <a:noFill/>
                    </a:ln>
                    <a:extLst>
                      <a:ext uri="{53640926-AAD7-44D8-BBD7-CCE9431645EC}">
                        <a14:shadowObscured xmlns:a14="http://schemas.microsoft.com/office/drawing/2010/main"/>
                      </a:ext>
                    </a:extLst>
                  </pic:spPr>
                </pic:pic>
              </a:graphicData>
            </a:graphic>
          </wp:inline>
        </w:drawing>
      </w:r>
    </w:p>
    <w:p w14:paraId="53FBBC95" w14:textId="1E90F0F8" w:rsidR="00E77D36" w:rsidRDefault="00E77D36" w:rsidP="005932B1">
      <w:pPr>
        <w:spacing w:before="240"/>
        <w:jc w:val="both"/>
        <w:rPr>
          <w:rFonts w:eastAsia="Arial"/>
          <w:sz w:val="24"/>
        </w:rPr>
      </w:pPr>
      <w:r w:rsidRPr="00C1362F">
        <w:rPr>
          <w:rFonts w:eastAsia="Arial"/>
          <w:b/>
          <w:bCs/>
          <w:sz w:val="24"/>
        </w:rPr>
        <w:t>Figure 7.</w:t>
      </w:r>
      <w:r w:rsidRPr="00C1362F">
        <w:rPr>
          <w:rFonts w:eastAsia="Arial"/>
          <w:sz w:val="24"/>
        </w:rPr>
        <w:t xml:space="preserve"> Model estimated temporal trends (2003-2022) in gross primary productivity (GPP), net ecosystem exchange (NEE), and surface soil organic carbon (SOC) stocks grouped by </w:t>
      </w:r>
      <w:r>
        <w:rPr>
          <w:rFonts w:eastAsia="Arial"/>
          <w:sz w:val="24"/>
        </w:rPr>
        <w:t>vegetation</w:t>
      </w:r>
      <w:r w:rsidRPr="00C1362F">
        <w:rPr>
          <w:rFonts w:eastAsia="Arial"/>
          <w:sz w:val="24"/>
        </w:rPr>
        <w:t xml:space="preserve"> </w:t>
      </w:r>
      <w:r w:rsidR="008A5615">
        <w:rPr>
          <w:rFonts w:eastAsia="Arial"/>
          <w:sz w:val="24"/>
        </w:rPr>
        <w:t>classes</w:t>
      </w:r>
      <w:r w:rsidRPr="00C1362F">
        <w:rPr>
          <w:rFonts w:eastAsia="Arial"/>
          <w:sz w:val="24"/>
        </w:rPr>
        <w:t xml:space="preserve"> including (</w:t>
      </w:r>
      <w:r w:rsidR="00DA32CC">
        <w:rPr>
          <w:rFonts w:eastAsia="Arial"/>
          <w:sz w:val="24"/>
        </w:rPr>
        <w:t>a</w:t>
      </w:r>
      <w:r w:rsidRPr="00C1362F">
        <w:rPr>
          <w:rFonts w:eastAsia="Arial"/>
          <w:sz w:val="24"/>
        </w:rPr>
        <w:t>) perennial and annual grass, (</w:t>
      </w:r>
      <w:r w:rsidR="00DA32CC">
        <w:rPr>
          <w:rFonts w:eastAsia="Arial"/>
          <w:sz w:val="24"/>
        </w:rPr>
        <w:t>b</w:t>
      </w:r>
      <w:r w:rsidRPr="00C1362F">
        <w:rPr>
          <w:rFonts w:eastAsia="Arial"/>
          <w:sz w:val="24"/>
        </w:rPr>
        <w:t>) managed hay and pasture, (</w:t>
      </w:r>
      <w:r w:rsidR="00DA32CC">
        <w:rPr>
          <w:rFonts w:eastAsia="Arial"/>
          <w:sz w:val="24"/>
        </w:rPr>
        <w:t>c</w:t>
      </w:r>
      <w:r w:rsidRPr="00C1362F">
        <w:rPr>
          <w:rFonts w:eastAsia="Arial"/>
          <w:sz w:val="24"/>
        </w:rPr>
        <w:t>) mixture of grass and shrub, and (</w:t>
      </w:r>
      <w:r w:rsidR="00DA32CC">
        <w:rPr>
          <w:rFonts w:eastAsia="Arial"/>
          <w:sz w:val="24"/>
        </w:rPr>
        <w:t>d</w:t>
      </w:r>
      <w:r w:rsidRPr="00C1362F">
        <w:rPr>
          <w:rFonts w:eastAsia="Arial"/>
          <w:sz w:val="24"/>
        </w:rPr>
        <w:t xml:space="preserve">) mixture of grass and tree classes. </w:t>
      </w:r>
      <w:bookmarkStart w:id="19" w:name="_Hlk152232143"/>
      <w:r w:rsidRPr="00C1362F">
        <w:rPr>
          <w:rFonts w:eastAsia="Arial"/>
          <w:sz w:val="24"/>
        </w:rPr>
        <w:t xml:space="preserve">The solid lines represent mean values averaged from all sites within the group, while the lighter-colored lines with areas filled within represent standard deviations for GPP and NEE estimates. </w:t>
      </w:r>
      <w:bookmarkEnd w:id="18"/>
      <w:bookmarkEnd w:id="19"/>
      <w:r>
        <w:rPr>
          <w:rFonts w:eastAsia="Arial"/>
          <w:sz w:val="24"/>
        </w:rPr>
        <w:t xml:space="preserve">The red line shows zero baseline for NEE where a positive NEE denotes ecosystem </w:t>
      </w:r>
      <w:r w:rsidR="000D71E4">
        <w:rPr>
          <w:rFonts w:eastAsia="Arial"/>
          <w:sz w:val="24"/>
        </w:rPr>
        <w:t xml:space="preserve">carbon </w:t>
      </w:r>
      <w:r>
        <w:rPr>
          <w:rFonts w:eastAsia="Arial"/>
          <w:sz w:val="24"/>
        </w:rPr>
        <w:t>sink activity.</w:t>
      </w:r>
      <w:r w:rsidRPr="00C1362F">
        <w:rPr>
          <w:rFonts w:eastAsia="Arial"/>
          <w:sz w:val="24"/>
        </w:rPr>
        <w:t xml:space="preserve"> Different scales were used for SOC due to difference</w:t>
      </w:r>
      <w:r>
        <w:rPr>
          <w:rFonts w:eastAsia="Arial"/>
          <w:sz w:val="24"/>
        </w:rPr>
        <w:t>s</w:t>
      </w:r>
      <w:r w:rsidRPr="00C1362F">
        <w:rPr>
          <w:rFonts w:eastAsia="Arial"/>
          <w:sz w:val="24"/>
        </w:rPr>
        <w:t xml:space="preserve"> in data ranges among </w:t>
      </w:r>
      <w:r>
        <w:rPr>
          <w:rFonts w:eastAsia="Arial"/>
          <w:sz w:val="24"/>
        </w:rPr>
        <w:t>vegetation types</w:t>
      </w:r>
      <w:r w:rsidRPr="00C1362F">
        <w:rPr>
          <w:rFonts w:eastAsia="Arial"/>
          <w:sz w:val="24"/>
        </w:rPr>
        <w:t xml:space="preserve">.  </w:t>
      </w:r>
    </w:p>
    <w:p w14:paraId="7688D4E6" w14:textId="77777777" w:rsidR="00E77D36" w:rsidRPr="00C1362F" w:rsidRDefault="00E77D36" w:rsidP="00E77D36">
      <w:pPr>
        <w:spacing w:before="120"/>
        <w:jc w:val="both"/>
        <w:rPr>
          <w:rFonts w:eastAsia="Arial"/>
          <w:sz w:val="24"/>
        </w:rPr>
      </w:pPr>
    </w:p>
    <w:p w14:paraId="7A5C61C1" w14:textId="77777777" w:rsidR="00E77D36" w:rsidRPr="00C1362F" w:rsidRDefault="00E77D36" w:rsidP="00E77D36">
      <w:pPr>
        <w:pStyle w:val="Heading1"/>
        <w:spacing w:before="120" w:after="0" w:line="240" w:lineRule="auto"/>
        <w:rPr>
          <w:lang w:eastAsia="en-US"/>
        </w:rPr>
      </w:pPr>
      <w:r w:rsidRPr="00C1362F">
        <w:rPr>
          <w:lang w:eastAsia="en-US"/>
        </w:rPr>
        <w:t>4 Discussion</w:t>
      </w:r>
    </w:p>
    <w:p w14:paraId="451F2006" w14:textId="77777777" w:rsidR="00E77D36" w:rsidRPr="00C1362F" w:rsidRDefault="00E77D36" w:rsidP="008A5615">
      <w:pPr>
        <w:pStyle w:val="Heading-Secondary"/>
      </w:pPr>
      <w:r w:rsidRPr="00C1362F">
        <w:t>4.1 RCTM model performance compared to previous work</w:t>
      </w:r>
    </w:p>
    <w:p w14:paraId="561C6A35" w14:textId="77777777" w:rsidR="00E77D36" w:rsidRPr="00C1362F" w:rsidRDefault="00E77D36" w:rsidP="008A5615">
      <w:pPr>
        <w:spacing w:before="120"/>
        <w:ind w:firstLine="720"/>
        <w:jc w:val="both"/>
        <w:rPr>
          <w:rFonts w:eastAsia="SimSun"/>
          <w:bCs/>
          <w:sz w:val="24"/>
          <w:szCs w:val="24"/>
        </w:rPr>
      </w:pPr>
      <w:r w:rsidRPr="00C1362F">
        <w:rPr>
          <w:rFonts w:eastAsia="SimSun"/>
          <w:bCs/>
          <w:sz w:val="24"/>
          <w:szCs w:val="24"/>
        </w:rPr>
        <w:t xml:space="preserve">In comparison to previous research on estimating broad-scale rangeland productivity, our GPP model demonstrated </w:t>
      </w:r>
      <w:r>
        <w:rPr>
          <w:rFonts w:eastAsia="SimSun"/>
          <w:bCs/>
          <w:sz w:val="24"/>
          <w:szCs w:val="24"/>
        </w:rPr>
        <w:t>similar or better</w:t>
      </w:r>
      <w:r w:rsidRPr="00C1362F">
        <w:rPr>
          <w:rFonts w:eastAsia="SimSun"/>
          <w:bCs/>
          <w:sz w:val="24"/>
          <w:szCs w:val="24"/>
        </w:rPr>
        <w:t xml:space="preserve"> performance. For example, </w:t>
      </w:r>
      <w:r w:rsidRPr="00C1362F">
        <w:rPr>
          <w:rFonts w:eastAsia="SimSun"/>
          <w:bCs/>
          <w:sz w:val="24"/>
          <w:szCs w:val="24"/>
        </w:rPr>
        <w:fldChar w:fldCharType="begin" w:fldLock="1"/>
      </w:r>
      <w:r w:rsidRPr="00C1362F">
        <w:rPr>
          <w:rFonts w:eastAsia="SimSun"/>
          <w:bCs/>
          <w:sz w:val="24"/>
          <w:szCs w:val="24"/>
        </w:rPr>
        <w:instrText>ADDIN CSL_CITATION {"citationItems":[{"id":"ITEM-1","itemData":{"DOI":"10.1080/01431161.2019.1707902","ISSN":"13665901","abstract":"Maximal light-use efficiency (LUE), ɛmax, is a measure of the conversion efficiency of the photosynthetically active radiation absorbed by plants to net primary productivity (NPP), based on the principle that an optimal plant productive capability exists when the LUE is at its maximum. ɛmax is an important parameter for modelling regional NPP and is conventionally applied at the biome level using a constant value. In this study, we estimated type-specific ɛmax values for three dominant land cover types on the Mongolian Plateau: 0.621 g C MJ–1 (MJ is the mega Joules and 1 MJ = 106 J) for meadow steppe, 0.534 g C MJ–1 for typical steppe, and 0.520 g C MJ–1 for desert steppe. With these steppe-specific modified ɛmax values, we were able to examine changes in NPP for 2001–2015 on the plateau, as well as their likely responses to regional climate change. The use of different ɛmax values for each steppe type improved the accuracy of the Carnegie Ames Stanford Approach (CASA) Biosphere model predictions of grassland NPP by 18.8% (R2 = 0.48 to R2 = 0.57; R2 is the coefficient of determination) over the observation period. Previous studies based on a constant ɛmax (0.541 g C MJ–1) appear to underestimate ɛmax and NPP in meadow steppe, highlighting the importance of setting type-specific ɛmax values for different land cover types in the remote-sensing modelling of grassland NPP. However, more detailed maps of biome sub-classes, with species composition, would be valuable for future attempts to determine appropriate ɛmax values. The growing season (April–October) NPP on the plateau increased significantly from 2001 to 2015, with an annual increment of 4.44 g C m–2 y–1. This trend was strongly governed by the change in summer NPP across the plateau. In comparison, NPP in the spring and autumn did not influence the change in total NPP, which was likely due to their relatively small values. Summer precipitation and the related drought stress were the chief factors responsible for plateau-scale NPP changes, due to the high proportion of summer precipitation and NPP in the annual totals. This may induce important environmental features, such as dzud (a Mongolian term for a severe winter) and desertification on the plateau.","author":[{"dropping-particle":"","family":"Jin","given":"Hugejiletu","non-dropping-particle":"","parse-names":false,"suffix":""},{"dropping-particle":"","family":"Bao","given":"Gang","non-dropping-particle":"","parse-names":false,"suffix":""},{"dropping-particle":"","family":"Chen","given":"Jiquan","non-dropping-particle":"","parse-names":false,"suffix":""},{"dropping-particle":"","family":"Chopping","given":"Mark","non-dropping-particle":"","parse-names":false,"suffix":""},{"dropping-particle":"","family":"Jin","given":"Eerdemutu","non-dropping-particle":"","parse-names":false,"suffix":""},{"dropping-particle":"","family":"Mandakh","given":"Urtnasan","non-dropping-particle":"","parse-names":false,"suffix":""},{"dropping-particle":"","family":"Jiang","given":"Kang","non-dropping-particle":"","parse-names":false,"suffix":""},{"dropping-particle":"","family":"Huang","given":"Xiaojun","non-dropping-particle":"","parse-names":false,"suffix":""},{"dropping-particle":"","family":"Bao","given":"Yuhai","non-dropping-particle":"","parse-names":false,"suffix":""},{"dropping-particle":"","family":"Vandansambuu","given":"Battsengel","non-dropping-particle":"","parse-names":false,"suffix":""}],"container-title":"International Journal of Remote Sensing","id":"ITEM-1","issue":"10","issued":{"date-parts":[["2020"]]},"page":"3740-3760","title":"Modifying the maximal light-use efficiency for enhancing predictions of vegetation net primary productivity on the Mongolian Plateau","type":"article-journal","volume":"41"},"uris":["http://www.mendeley.com/documents/?uuid=d56e4ffc-4545-445a-bb51-71305fb764b2"]}],"mendeley":{"formattedCitation":"(Jin et al., 2020)","manualFormatting":"Jin et al. (2020)","plainTextFormattedCitation":"(Jin et al., 2020)","previouslyFormattedCitation":"(Jin et al., 2020)"},"properties":{"noteIndex":0},"schema":"https://github.com/citation-style-language/schema/raw/master/csl-citation.json"}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Jin et al. (2020)</w:t>
      </w:r>
      <w:r w:rsidRPr="00C1362F">
        <w:rPr>
          <w:rFonts w:eastAsia="SimSun"/>
          <w:bCs/>
          <w:sz w:val="24"/>
          <w:szCs w:val="24"/>
        </w:rPr>
        <w:fldChar w:fldCharType="end"/>
      </w:r>
      <w:r w:rsidRPr="00C1362F">
        <w:rPr>
          <w:rFonts w:eastAsia="SimSun"/>
          <w:bCs/>
          <w:sz w:val="24"/>
          <w:szCs w:val="24"/>
        </w:rPr>
        <w:t xml:space="preserve"> carried out </w:t>
      </w:r>
      <w:r w:rsidRPr="00C1362F">
        <w:rPr>
          <w:rFonts w:eastAsia="SimSun"/>
          <w:bCs/>
          <w:sz w:val="24"/>
          <w:szCs w:val="24"/>
        </w:rPr>
        <w:lastRenderedPageBreak/>
        <w:t xml:space="preserve">a </w:t>
      </w:r>
      <w:r>
        <w:rPr>
          <w:rFonts w:eastAsia="SimSun"/>
          <w:bCs/>
          <w:sz w:val="24"/>
          <w:szCs w:val="24"/>
        </w:rPr>
        <w:t>vegetation type</w:t>
      </w:r>
      <w:r w:rsidRPr="00C1362F">
        <w:rPr>
          <w:rFonts w:eastAsia="SimSun"/>
          <w:bCs/>
          <w:sz w:val="24"/>
          <w:szCs w:val="24"/>
        </w:rPr>
        <w:t xml:space="preserve">-specific model calibration for the Mongolian Plateau, achieving </w:t>
      </w:r>
      <w:r>
        <w:rPr>
          <w:rFonts w:eastAsia="SimSun"/>
          <w:bCs/>
          <w:sz w:val="24"/>
          <w:szCs w:val="24"/>
        </w:rPr>
        <w:t>a</w:t>
      </w:r>
      <w:r w:rsidRPr="00C1362F">
        <w:rPr>
          <w:rFonts w:eastAsia="SimSun"/>
          <w:bCs/>
          <w:sz w:val="24"/>
          <w:szCs w:val="24"/>
        </w:rPr>
        <w:t xml:space="preserve"> model performance </w:t>
      </w:r>
      <w:r>
        <w:rPr>
          <w:rFonts w:eastAsia="SimSun"/>
          <w:bCs/>
          <w:sz w:val="24"/>
          <w:szCs w:val="24"/>
        </w:rPr>
        <w:t xml:space="preserve">of </w:t>
      </w:r>
      <w:r w:rsidRPr="00C1362F">
        <w:rPr>
          <w:rFonts w:eastAsia="SimSun"/>
          <w:bCs/>
          <w:sz w:val="24"/>
          <w:szCs w:val="24"/>
        </w:rPr>
        <w:t>R</w:t>
      </w:r>
      <w:r w:rsidRPr="00C1362F">
        <w:rPr>
          <w:rFonts w:eastAsia="SimSun"/>
          <w:bCs/>
          <w:sz w:val="24"/>
          <w:szCs w:val="24"/>
          <w:vertAlign w:val="superscript"/>
        </w:rPr>
        <w:t>2</w:t>
      </w:r>
      <w:r w:rsidRPr="00C1362F">
        <w:rPr>
          <w:rFonts w:eastAsia="SimSun"/>
          <w:bCs/>
          <w:sz w:val="24"/>
          <w:szCs w:val="24"/>
        </w:rPr>
        <w:t xml:space="preserve"> = 0.57 in estimating grassland NPP.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{"citationItems":[{"id":"ITEM-1","itemData":{"DOI":"10.1016/j.ecolmodel.2015.01.001","ISSN":"03043800","abstract":"Light use efficiency (LUE) models that with different structures (i.e., methods to address environmental stresses on LUE) have been widely used to estimate terrestrial gross primary production (GPP) because of their theoretical soundness and practical conveniences. However, a systematic validation of those models with field observations across diverse ecosystems is still lacking and whether the model can be further improved by structural optimization remains unclear. Using GPP estimates at global 51 eddy covariance flux towers that cover a wide climate range and diverse vegetation types, we evaluated the performances of the four major LUE models (i.e., Carnegie-Ames-Stanford approach (CASA), Global Production Efficiency Model (GLO-PEM), Vegetation Photosynthesis Model (VPM), and Eddy Covariance-Light Use Efficiency (EC-LUE)) and examined the possible further improvement of the better-performed model(s) via model structural optimization. Our results showed that the GLO-PEM, VPM, and EC-LUE exhibited the similar capabilities in simulating GPP (explained around 68% of the total variations) and overall performed better than CASA (58%). Nevertheless, the EC-LUE and VPM were the optimal ones because they required less model inputs than the GLO-PEM. For the two optimal models, we found that the minimum method is better than the multiplication approach to integrate multiple environmental stresses on LUE. Moreover, we found that the VPM can be further improved by incorporating the constraint of water vapor deficit (VPDs). We suggested that a modified VPM by using minimum method and adding VPDs may be the best model in estimating large-scale GPP if high-quality remote sensing data available, otherwise, the modified models with the water stress reflected by VPDs only is optimal.","author":[{"dropping-particle":"","family":"Zhang","given":"Liang Xia","non-dropping-particle":"","parse-names":false,"suffix":""},{"dropping-particle":"","family":"Zhou","given":"De Cheng","non-dropping-particle":"","parse-names":false,"suffix":""},{"dropping-particle":"","family":"Fan","given":"Jiang Wen","non-dropping-particle":"","parse-names":false,"suffix":""},{"dropping-particle":"","family":"Hu","given":"Zhong Min","non-dropping-particle":"","parse-names":false,"suffix":""}],"container-title":"Ecological Modelling","id":"ITEM-1","issued":{"date-parts":[["2015"]]},"page":"30-39","title":"Comparison of four light use efficiency models for estimating terrestrial gross primary production","type":"article-journal","volume":"300"},"uris":["http://www.mendeley.com/documents/?uuid=15522e1c-8d30-4995-9481-8e39eba2ad75"]}],"mendeley":{"formattedCitation":"(L. X. Zhang et al., 2015)","manualFormatting":"Zhang et al. (2015)","plainTextFormattedCitation":"(L. X. Zhang et al., 2015)","previouslyFormattedCitation":"(L. X. Zhang et al., 2015)"},"properties":{"noteIndex":0},"schema":"https://github.com/citation-style-language/schema/raw/master/csl-citation.json"}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Zhang et al. (2015)</w:t>
      </w:r>
      <w:r w:rsidRPr="00C1362F">
        <w:rPr>
          <w:rFonts w:eastAsia="SimSun"/>
          <w:bCs/>
          <w:sz w:val="24"/>
          <w:szCs w:val="24"/>
        </w:rPr>
        <w:fldChar w:fldCharType="end"/>
      </w:r>
      <w:r w:rsidRPr="00C1362F">
        <w:rPr>
          <w:rFonts w:eastAsia="SimSun"/>
          <w:bCs/>
          <w:sz w:val="24"/>
          <w:szCs w:val="24"/>
        </w:rPr>
        <w:t xml:space="preserve"> compared four LUE-type models with varying complexity and found less accurate model estimations for grasslands (R</w:t>
      </w:r>
      <w:r w:rsidRPr="00C1362F">
        <w:rPr>
          <w:rFonts w:eastAsia="SimSun"/>
          <w:bCs/>
          <w:sz w:val="24"/>
          <w:szCs w:val="24"/>
          <w:vertAlign w:val="superscript"/>
        </w:rPr>
        <w:t>2</w:t>
      </w:r>
      <w:r w:rsidRPr="00C1362F">
        <w:rPr>
          <w:rFonts w:eastAsia="SimSun"/>
          <w:bCs/>
          <w:sz w:val="24"/>
          <w:szCs w:val="24"/>
        </w:rPr>
        <w:t xml:space="preserve"> between 0.45 and 0.64; RMSE between 1.9 and 2.6 g C m</w:t>
      </w:r>
      <w:r w:rsidRPr="00C1362F">
        <w:rPr>
          <w:rFonts w:eastAsia="SimSun"/>
          <w:bCs/>
          <w:sz w:val="24"/>
          <w:szCs w:val="24"/>
          <w:vertAlign w:val="superscript"/>
        </w:rPr>
        <w:t>-2</w:t>
      </w:r>
      <w:r w:rsidRPr="00C1362F">
        <w:rPr>
          <w:rFonts w:eastAsia="SimSun"/>
          <w:bCs/>
          <w:sz w:val="24"/>
          <w:szCs w:val="24"/>
        </w:rPr>
        <w:t xml:space="preserve"> day</w:t>
      </w:r>
      <w:r w:rsidRPr="00C1362F">
        <w:rPr>
          <w:rFonts w:eastAsia="SimSun"/>
          <w:bCs/>
          <w:sz w:val="24"/>
          <w:szCs w:val="24"/>
          <w:vertAlign w:val="superscript"/>
        </w:rPr>
        <w:t>-1</w:t>
      </w:r>
      <w:r w:rsidRPr="00C1362F">
        <w:rPr>
          <w:rFonts w:eastAsia="SimSun"/>
          <w:bCs/>
          <w:sz w:val="24"/>
          <w:szCs w:val="24"/>
        </w:rPr>
        <w:t>) compared to croplands (R</w:t>
      </w:r>
      <w:r w:rsidRPr="00C1362F">
        <w:rPr>
          <w:rFonts w:eastAsia="SimSun"/>
          <w:bCs/>
          <w:sz w:val="24"/>
          <w:szCs w:val="24"/>
          <w:vertAlign w:val="superscript"/>
        </w:rPr>
        <w:t>2</w:t>
      </w:r>
      <w:r w:rsidRPr="00C1362F">
        <w:rPr>
          <w:rFonts w:eastAsia="SimSun"/>
          <w:bCs/>
          <w:sz w:val="24"/>
          <w:szCs w:val="24"/>
        </w:rPr>
        <w:t xml:space="preserve"> between 0.59 and 0.73) using a global flux tower dataset. Also using a global flux tower dataset, </w:t>
      </w:r>
      <w:r w:rsidRPr="00C1362F">
        <w:rPr>
          <w:rFonts w:eastAsia="SimSun"/>
          <w:bCs/>
          <w:sz w:val="24"/>
          <w:szCs w:val="24"/>
        </w:rPr>
        <w:fldChar w:fldCharType="begin" w:fldLock="1"/>
      </w:r>
      <w:r w:rsidRPr="00C1362F">
        <w:rPr>
          <w:rFonts w:eastAsia="SimSun"/>
          <w:bCs/>
          <w:sz w:val="24"/>
          <w:szCs w:val="24"/>
        </w:rPr>
        <w:instrText>ADDIN CSL_CITATION {"citationItems":[{"id":"ITEM-1","itemData":{"DOI":"10.3390/rs10111771","ISSN":"20724292","abstract":"As the biggest carbon flux of terrestrial ecosystems from photosynthesis, gross primary productivity (GPP) is an important indicator in understanding the carbon cycle and biogeochemical process of terrestrial ecosystems. Despite advances in remote sensing-based GPP modeling, spatial and temporal variations of GPP are still uncertain especially under extreme climate conditions such as droughts. As the only official products of global spatially explicit GPP, MOD17A2H (GPPMOD) has been widely used to assess the variations of carbon uptake of terrestrial ecosystems. However, systematic assessment of its performance has rarely been conducted especially for the grassland ecosystems where inter-annual variability is high. Based on a collection of GPP datasets (GPPEC) from a global network of eddy covariance towers (FluxNet), we compared GPPMOD and GPPEC at all FluxNet grassland sites with more than five years of observations. We evaluated the performance and robustness of GPPMOD in different grassland biomes (tropical, temperate, and alpine) by using a bootstrapping method for calculating 95% confident intervals (CI) for the linear regression slope, coefficients of determination (R2), and root mean square errors (RMSE). We found that GPPMOD generally underestimated GPP by about 34% across all biomes despite a significant relationship (R2 = 0.66 (CI, 0.63-0.69), RMSE = 2.46 (2.33-2.58) g Cm-2 day-1) for the three grassland biomes. GPPMOD had varied performances with R2 values of 0.72 (0.68-0.75) (temperate), 0.64 (0.59-0.68) (alpine), and 0.40 (0.27-0.52) (tropical). Thus, GPPMOD performed better in low GPP situations (e.g., temperate grassland type), which further indicated that GPPMOD underestimated GPP. The underestimation of GPP could be partly attributed to the biased maximum light use efficiency (εmax) values of different grassland biomes. The uncertainty of the fraction of absorbed photosynthetically active radiation (FPAR) and the water scalar based on the vapor pressure deficit (VPD) could have other reasons for the underestimation. Therefore, more accurate estimates of GPP for different grassland biomes should consider improvements in εmax, FPAR, and the VPD scalar. Our results suggest that the community should be cautious when using MODIS GPP products to examine spatial and temporal variations of carbon fluxes.","author":[{"dropping-particle":"","family":"Zhu","given":"Xiaoyan","non-dropping-particle":"","parse-names":false,"suffix":""},{"dropping-particle":"","family":"Pei","given":"Yanyan","non-dropping-particle":"","parse-names":false,"suffix":""},{"dropping-particle":"","family":"Zheng","given":"Zhaopei","non-dropping-particle":"","parse-names":false,"suffix":""},{"dropping-particle":"","family":"Dong","given":"Jinwei","non-dropping-particle":"","parse-names":false,"suffix":""},{"dropping-particle":"","family":"Zhang","given":"Yao","non-dropping-particle":"","parse-names":false,"suffix":""},{"dropping-particle":"","family":"Wang","given":"Junbang","non-dropping-particle":"","parse-names":false,"suffix":""},{"dropping-particle":"","family":"Chen","given":"Lajiao","non-dropping-particle":"","parse-names":false,"suffix":""},{"dropping-particle":"","family":"Doughty","given":"Russell B.","non-dropping-particle":"","parse-names":false,"suffix":""},{"dropping-particle":"","family":"Zhang","given":"Geli","non-dropping-particle":"","parse-names":false,"suffix":""},{"dropping-particle":"","family":"Xiao","given":"Xiangming","non-dropping-particle":"","parse-names":false,"suffix":""}],"container-title":"Remote Sensing","id":"ITEM-1","issue":"11","issued":{"date-parts":[["2018"]]},"page":"e1771","title":"Underestimates of grassland gross primary production in MODIS standard products","type":"article-journal","volume":"10"},"uris":["http://www.mendeley.com/documents/?uuid=331176a2-cabf-4305-a857-128fa17b7afd"]}],"mendeley":{"formattedCitation":"(Xiaoyan Zhu et al., 2018)","manualFormatting":"Zhu et al. (2018)","plainTextFormattedCitation":"(Xiaoyan Zhu et al., 2018)","previouslyFormattedCitation":"(Xiaoyan Zhu et al., 2018)"},"properties":{"noteIndex":0},"schema":"https://github.com/citation-style-language/schema/raw/master/csl-citation.json"}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Zhu et al. (2018)</w:t>
      </w:r>
      <w:r w:rsidRPr="00C1362F">
        <w:rPr>
          <w:rFonts w:eastAsia="SimSun"/>
          <w:bCs/>
          <w:sz w:val="24"/>
          <w:szCs w:val="24"/>
        </w:rPr>
        <w:fldChar w:fldCharType="end"/>
      </w:r>
      <w:r w:rsidRPr="00C1362F">
        <w:rPr>
          <w:rFonts w:eastAsia="SimSun"/>
          <w:bCs/>
          <w:sz w:val="24"/>
          <w:szCs w:val="24"/>
        </w:rPr>
        <w:t xml:space="preserve"> examined MODIS GPP products, which are also developed based on the LUE-type algorithms. Their study found moderate model fit (R</w:t>
      </w:r>
      <w:r w:rsidRPr="00C1362F">
        <w:rPr>
          <w:rFonts w:eastAsia="SimSun"/>
          <w:bCs/>
          <w:sz w:val="24"/>
          <w:szCs w:val="24"/>
          <w:vertAlign w:val="superscript"/>
        </w:rPr>
        <w:t>2</w:t>
      </w:r>
      <w:r w:rsidRPr="00C1362F">
        <w:rPr>
          <w:rFonts w:eastAsia="SimSun"/>
          <w:bCs/>
          <w:sz w:val="24"/>
          <w:szCs w:val="24"/>
        </w:rPr>
        <w:t xml:space="preserve"> = 0.66) but relatively large RMSE</w:t>
      </w:r>
      <w:r>
        <w:rPr>
          <w:rFonts w:eastAsia="SimSun"/>
          <w:bCs/>
          <w:sz w:val="24"/>
          <w:szCs w:val="24"/>
        </w:rPr>
        <w:t>,</w:t>
      </w:r>
      <w:r w:rsidRPr="00C1362F">
        <w:rPr>
          <w:rFonts w:eastAsia="SimSun"/>
          <w:bCs/>
          <w:sz w:val="24"/>
          <w:szCs w:val="24"/>
        </w:rPr>
        <w:t xml:space="preserve"> indicating an underestimation of grassland GPP</w:t>
      </w:r>
      <w:r>
        <w:rPr>
          <w:rFonts w:eastAsia="SimSun"/>
          <w:bCs/>
          <w:sz w:val="24"/>
          <w:szCs w:val="24"/>
        </w:rPr>
        <w:t>. Work by</w:t>
      </w:r>
      <w:r w:rsidRPr="00C1362F">
        <w:rPr>
          <w:rFonts w:eastAsia="SimSun"/>
          <w:bCs/>
          <w:sz w:val="24"/>
          <w:szCs w:val="24"/>
        </w:rPr>
        <w:t xml:space="preserve">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{"citationItems":[{"id":"ITEM-1","itemData":{"DOI":"10.1016/j.rse.2012.06.023","ISSN":"00344257","abstract":"Gross primary productivity (GPP) quantifies the photosynthetic uptake of carbon by ecosystems and is an important component of the terrestrial carbon cycle. Empirical light use efficiency (LUE) models and process-based Farquhar, von Caemmerer, and Berry (FvCB) photosynthetic models are widely used for GPP estimation. In this paper, the MODIS GPP algorithm using the LUE approach and the Boreal Ecosystem Productivity Simulator (BEPS) based on the FvCB model in which a sunlit and shaded leaf separation scheme is evaluated against GPP values derived from eddy-covariance (EC) measurements in a variety of ecosystems. Although the total GPP values simulated using these two models agree within 89% when they are averaged for the conterminous U.S., there are systematic differences between them in terms of their spatial and temporal distribution patterns. The spatial distribution of MODIS GPP therefore differs substantially from that produced by BEPS. These differences may be due to an inherent problem of the LUE modeling approach. When a constant maximum LUE value is used for a biome type, this simplification cannot properly handle the contribution of shaded leaves to the total canopy-level GPP. When GPP is modeled by BEPS as the sum of sunlit and shaded leaf GPP, the problem is minimized, i.e., at the low end, the relative contribution of shaded leaves to GPP is small and at the high end, the relative contribution of shaded leaves is large. Compared with monthly and annual GPP derived from eddy covariance data at 40 tower sites in North America, BEPS performed better than the MODIS GPP algorithm. The difference between MODIS and BEPS GPP widens as with the fraction of shaded leaves increases. The simpler LUE modeling approach should therefore be further improved to reduce this bias issue for effective estimation of regional and temporal GPP distributions. © 2012 Elsevier Inc.","author":[{"dropping-particle":"","family":"Zhang","given":"Fangmin","non-dropping-particle":"","parse-names":false,"suffix":""},{"dropping-particle":"","family":"Chen","given":"Jing M.","non-dropping-particle":"","parse-names":false,"suffix":""},{"dropping-particle":"","family":"Chen","given":"Jiquan","non-dropping-particle":"","parse-names":false,"suffix":""},{"dropping-particle":"","family":"Gough","given":"Christopher M.","non-dropping-particle":"","parse-names":false,"suffix":""},{"dropping-particle":"","family":"Martin","given":"Timothy A.","non-dropping-particle":"","parse-names":false,"suffix":""},{"dropping-particle":"","family":"Dragoni","given":"Danilo","non-dropping-particle":"","parse-names":false,"suffix":""}],"container-title":"Remote Sensing of Environment","id":"ITEM-1","issued":{"date-parts":[["2012"]]},"page":"717-729","title":"Evaluating spatial and temporal patterns of MODIS GPP over the conterminous U.S. against flux measurements and a process model","type":"article-journal","volume":"124"},"uris":["http://www.mendeley.com/documents/?uuid=20d00ba6-182c-42f3-86d9-5dff30a3919d"]}],"mendeley":{"formattedCitation":"(F. Zhang et al., 2012)","manualFormatting":"Zhang et al. (2012)","plainTextFormattedCitation":"(F. Zhang et al., 2012)","previouslyFormattedCitation":"(F. Zhang et al., 2012)"},"properties":{"noteIndex":0},"schema":"https://github.com/citation-style-language/schema/raw/master/csl-citation.json"}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Zhang et al. (2012)</w:t>
      </w:r>
      <w:r w:rsidRPr="00C1362F">
        <w:rPr>
          <w:rFonts w:eastAsia="SimSun"/>
          <w:bCs/>
          <w:sz w:val="24"/>
          <w:szCs w:val="24"/>
        </w:rPr>
        <w:fldChar w:fldCharType="end"/>
      </w:r>
      <w:r w:rsidRPr="00C1362F">
        <w:rPr>
          <w:rFonts w:eastAsia="SimSun"/>
          <w:bCs/>
          <w:sz w:val="24"/>
          <w:szCs w:val="24"/>
        </w:rPr>
        <w:t xml:space="preserve"> reported a model accuracy of R</w:t>
      </w:r>
      <w:r w:rsidRPr="00C1362F">
        <w:rPr>
          <w:rFonts w:eastAsia="SimSun"/>
          <w:bCs/>
          <w:sz w:val="24"/>
          <w:szCs w:val="24"/>
          <w:vertAlign w:val="superscript"/>
        </w:rPr>
        <w:t>2</w:t>
      </w:r>
      <w:r w:rsidRPr="00C1362F">
        <w:rPr>
          <w:rFonts w:eastAsia="SimSun"/>
          <w:bCs/>
          <w:sz w:val="24"/>
          <w:szCs w:val="24"/>
        </w:rPr>
        <w:t xml:space="preserve"> = 0.74 for estimating annual GPP using the MODIS LUE algorithm when tested against an earlier flux tower dataset from U.S. grasslands. Calibrated against both Ameriflux and EuroFlux network sites, the work of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{"citationItems":[{"id":"ITEM-1","itemData":{"DOI":"10.1016/j.agrformet.2006.12.001","ISSN":"01681923","abstract":"The quantitative simulation of gross primary production (GPP) at various spatial and temporal scales has been a major challenge in quantifying the global carbon cycle. We developed a light use efficiency (LUE) daily GPP model from eddy covariance (EC) measurements. The model, called EC-LUE, is driven by only four variables: normalized difference vegetation index (NDVI), photosynthetically active radiation (PAR), air temperature, and the Bowen ratio of sensible to latent heat flux (used to calculate moisture stress). The EC-LUE model relies on two assumptions: First, that the fraction of absorbed PAR (fPAR) is a linear function of NDVI; Second, that the realized light use efficiency, calculated from a biome-independent invariant potential LUE, is controlled by air temperature or soil moisture, whichever is most limiting. The EC-LUE model was calibrated and validated using 24,349 daily GPP estimates derived from 28 eddy covariance flux towers from the AmeriFlux and EuroFlux networks, covering a variety of forests, grasslands and savannas. The model explained 85% and 77% of the observed variations of daily GPP for all the calibration and validation sites, respectively. A comparison with GPP calculated from the Moderate Resolution Imaging Spectroradiometer (MODIS) indicated that the EC-LUE model predicted GPP that better matched tower data across these sites. The realized LUE was predominantly controlled by moisture conditions throughout the growing season, and controlled by temperature only at the beginning and end of the growing season. The EC-LUE model is an alternative approach that makes it possible to map daily GPP over large areas because (1) the potential LUE is invariant across various land cover types and (2) all driving forces of the model can be derived from remote sensing data or existing climate observation networks. © 2007 Elsevier B.V. All rights reserved.","author":[{"dropping-particle":"","family":"Yuan","given":"Wenping","non-dropping-particle":"","parse-names":false,"suffix":""},{"dropping-particle":"","family":"Liu","given":"Shuguang","non-dropping-particle":"","parse-names":false,"suffix":""},{"dropping-particle":"","family":"Zhou","given":"Guangsheng","non-dropping-particle":"","parse-names":false,"suffix":""},{"dropping-particle":"","family":"Zhou","given":"Guoyi","non-dropping-particle":"","parse-names":false,"suffix":""},{"dropping-particle":"","family":"Tieszen","given":"Larry L.","non-dropping-particle":"","parse-names":false,"suffix":""},{"dropping-particle":"","family":"Baldocchi","given":"Dennis","non-dropping-particle":"","parse-names":false,"suffix":""},{"dropping-particle":"","family":"Bernhofer","given":"Christian","non-dropping-particle":"","parse-names":false,"suffix":""},{"dropping-particle":"","family":"Gholz","given":"Henry","non-dropping-particle":"","parse-names":false,"suffix":""},{"dropping-particle":"","family":"Goldstein","given":"Allen H.","non-dropping-particle":"","parse-names":false,"suffix":""},{"dropping-particle":"","family":"Goulden","given":"Michael L.","non-dropping-particle":"","parse-names":false,"suffix":""},{"dropping-particle":"","family":"Hollinger","given":"David Y.","non-dropping-particle":"","parse-names":false,"suffix":""},{"dropping-particle":"","family":"Hu","given":"Yueming","non-dropping-particle":"","parse-names":false,"suffix":""},{"dropping-particle":"","family":"Law","given":"Beverly E.","non-dropping-particle":"","parse-names":false,"suffix":""},{"dropping-particle":"","family":"Stoy","given":"Paul C.","non-dropping-particle":"","parse-names":false,"suffix":""},{"dropping-particle":"","family":"Vesala","given":"Timo","non-dropping-particle":"","parse-names":false,"suffix":""},{"dropping-particle":"","family":"Wofsy","given":"Steven C.","non-dropping-particle":"","parse-names":false,"suffix":""}],"container-title":"Agricultural and Forest Meteorology","id":"ITEM-1","issue":"3-4","issued":{"date-parts":[["2007"]]},"page":"189-207","title":"Deriving a light use efficiency model from eddy covariance flux data for predicting daily gross primary production across biomes","type":"article-journal","volume":"143"},"uris":["http://www.mendeley.com/documents/?uuid=1e06448a-b77d-4285-849b-28a068a40f5e"]}],"mendeley":{"formattedCitation":"(Yuan et al., 2007)","manualFormatting":"Yuan et al. (2007)","plainTextFormattedCitation":"(Yuan et al., 2007)","previouslyFormattedCitation":"(Yuan et al., 2007)"},"properties":{"noteIndex":0},"schema":"https://github.com/citation-style-language/schema/raw/master/csl-citation.json"}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Yuan et al. (2007)</w:t>
      </w:r>
      <w:r w:rsidRPr="00C1362F">
        <w:rPr>
          <w:rFonts w:eastAsia="SimSun"/>
          <w:bCs/>
          <w:sz w:val="24"/>
          <w:szCs w:val="24"/>
        </w:rPr>
        <w:fldChar w:fldCharType="end"/>
      </w:r>
      <w:r w:rsidRPr="00C1362F">
        <w:rPr>
          <w:rFonts w:eastAsia="SimSun"/>
          <w:bCs/>
          <w:sz w:val="24"/>
          <w:szCs w:val="24"/>
        </w:rPr>
        <w:t xml:space="preserve"> demonstrated better model performance than ours (R</w:t>
      </w:r>
      <w:r w:rsidRPr="00C1362F">
        <w:rPr>
          <w:rFonts w:eastAsia="SimSun"/>
          <w:bCs/>
          <w:sz w:val="24"/>
          <w:szCs w:val="24"/>
          <w:vertAlign w:val="superscript"/>
        </w:rPr>
        <w:t xml:space="preserve">2 </w:t>
      </w:r>
      <w:r w:rsidRPr="00C1362F">
        <w:rPr>
          <w:rFonts w:eastAsia="SimSun"/>
          <w:bCs/>
          <w:sz w:val="24"/>
          <w:szCs w:val="24"/>
        </w:rPr>
        <w:t xml:space="preserve">= 0.77), likely because their dataset included not only grassland but also savanna and forest sites, allowing the LUE algorithms to better capture broader-scale climate and vegetation driving factors. </w:t>
      </w:r>
    </w:p>
    <w:p w14:paraId="1B235FE7" w14:textId="77777777" w:rsidR="00E77D36" w:rsidRDefault="00E77D36" w:rsidP="008A5615">
      <w:pPr>
        <w:spacing w:before="120"/>
        <w:ind w:firstLine="720"/>
        <w:jc w:val="both"/>
        <w:rPr>
          <w:rFonts w:eastAsia="SimSun"/>
          <w:bCs/>
          <w:sz w:val="24"/>
          <w:szCs w:val="24"/>
        </w:rPr>
      </w:pPr>
      <w:r w:rsidRPr="00C1362F">
        <w:rPr>
          <w:rFonts w:eastAsia="SimSun"/>
          <w:bCs/>
          <w:sz w:val="24"/>
          <w:szCs w:val="24"/>
        </w:rPr>
        <w:t xml:space="preserve">In contrast to the extensive modeling efforts dedicated to rangeland productivity estimation, there have been limited research efforts on modeling rangeland NEE and SOC, especially with the use of </w:t>
      </w:r>
      <w:r>
        <w:rPr>
          <w:rFonts w:eastAsia="SimSun"/>
          <w:bCs/>
          <w:sz w:val="24"/>
          <w:szCs w:val="24"/>
        </w:rPr>
        <w:t xml:space="preserve">a </w:t>
      </w:r>
      <w:r w:rsidRPr="00C1362F">
        <w:rPr>
          <w:rFonts w:eastAsia="SimSun"/>
          <w:bCs/>
          <w:sz w:val="24"/>
          <w:szCs w:val="24"/>
        </w:rPr>
        <w:t xml:space="preserve">RS-driven, process-based modeling approach like RCTM. We performed a comparison between RCTM and L4C </w:t>
      </w:r>
      <w:r w:rsidRPr="00C1362F">
        <w:rPr>
          <w:rFonts w:eastAsia="SimSun"/>
          <w:bCs/>
          <w:sz w:val="24"/>
          <w:szCs w:val="24"/>
        </w:rPr>
        <w:fldChar w:fldCharType="begin" w:fldLock="1"/>
      </w:r>
      <w:r w:rsidRPr="00C1362F">
        <w:rPr>
          <w:rFonts w:eastAsia="SimSun"/>
          <w:bCs/>
          <w:sz w:val="24"/>
          <w:szCs w:val="24"/>
        </w:rPr>
        <w:instrText>ADDIN CSL_CITATION {"citationItems":[{"id":"ITEM-1","itemData":{"DOI":"10.1029/2020JG006100","ISSN":"2169-8953","author":[{"dropping-particle":"","family":"Endsley","given":"Arthur K.","non-dropping-particle":"","parse-names":false,"suffix":""},{"dropping-particle":"","family":"Kimball","given":"John S.","non-dropping-particle":"","parse-names":false,"suffix":""},{"dropping-particle":"","family":"Reichle","given":"Rolf H.","non-dropping-particle":"","parse-names":false,"suffix":""},{"dropping-particle":"","family":"Watts","given":"Jennifer D.","non-dropping-particle":"","parse-names":false,"suffix":""}],"container-title":"Journal of Geophysical Research: Biogeosciences","id":"ITEM-1","issue":"12","issued":{"date-parts":[["2020","12","10"]]},"page":"e2020JG006100","title":"Satellite monitoring of global surface soil organic carbon dynamics using the SMAP Level 4 carbon product","type":"article-journal","volume":"125"},"uris":["http://www.mendeley.com/documents/?uuid=b249a92b-11e6-429a-af27-c5d4cdc7f457"]}],"mendeley":{"formattedCitation":"(Endsley et al., 2020)","plainTextFormattedCitation":"(Endsley et al., 2020)","previouslyFormattedCitation":"(Endsley et al., 2020)"},"properties":{"noteIndex":0},"schema":"https://github.com/citation-style-language/schema/raw/master/csl-citation.json"}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(Endsley et al., 2020)</w:t>
      </w:r>
      <w:r w:rsidRPr="00C1362F">
        <w:rPr>
          <w:rFonts w:eastAsia="SimSun"/>
          <w:bCs/>
          <w:sz w:val="24"/>
          <w:szCs w:val="24"/>
        </w:rPr>
        <w:fldChar w:fldCharType="end"/>
      </w:r>
      <w:r w:rsidRPr="00C1362F">
        <w:rPr>
          <w:rFonts w:eastAsia="SimSun"/>
          <w:bCs/>
          <w:sz w:val="24"/>
          <w:szCs w:val="24"/>
        </w:rPr>
        <w:t xml:space="preserve"> using the Ameriflux/NEON sites (SI: Appendix </w:t>
      </w:r>
      <w:r>
        <w:rPr>
          <w:rFonts w:eastAsia="SimSun"/>
          <w:bCs/>
          <w:sz w:val="24"/>
          <w:szCs w:val="24"/>
        </w:rPr>
        <w:t>F</w:t>
      </w:r>
      <w:r w:rsidRPr="00C1362F">
        <w:rPr>
          <w:rFonts w:eastAsia="SimSun"/>
          <w:bCs/>
          <w:sz w:val="24"/>
          <w:szCs w:val="24"/>
        </w:rPr>
        <w:t xml:space="preserve">) and found that RCTM outperformed L4C results in terms of NEE estimates for perennial and/or annual grass and grass-shrub mixture sites, while the performance </w:t>
      </w:r>
      <w:r>
        <w:rPr>
          <w:rFonts w:eastAsia="SimSun"/>
          <w:bCs/>
          <w:sz w:val="24"/>
          <w:szCs w:val="24"/>
        </w:rPr>
        <w:t>was</w:t>
      </w:r>
      <w:r w:rsidRPr="00C1362F">
        <w:rPr>
          <w:rFonts w:eastAsia="SimSun"/>
          <w:bCs/>
          <w:sz w:val="24"/>
          <w:szCs w:val="24"/>
        </w:rPr>
        <w:t xml:space="preserve"> similar for grass-tree mixture sites. This is not surprising because</w:t>
      </w:r>
      <w:r>
        <w:rPr>
          <w:rFonts w:eastAsia="SimSun"/>
          <w:bCs/>
          <w:sz w:val="24"/>
          <w:szCs w:val="24"/>
        </w:rPr>
        <w:t xml:space="preserve"> in the global L4C land-cover map, the single ‘Grasslands’ vegetation type (i.e., plant functional type) represents fairly different bioclimatic settings</w:t>
      </w:r>
      <w:r w:rsidRPr="00C1362F">
        <w:rPr>
          <w:rFonts w:eastAsia="SimSun"/>
          <w:bCs/>
          <w:sz w:val="24"/>
          <w:szCs w:val="24"/>
        </w:rPr>
        <w:t xml:space="preserve">. </w:t>
      </w:r>
      <w:r>
        <w:rPr>
          <w:rFonts w:eastAsia="SimSun"/>
          <w:bCs/>
          <w:sz w:val="24"/>
          <w:szCs w:val="24"/>
        </w:rPr>
        <w:t xml:space="preserve">The L4C parameters were calibrated using a global FLUXNET dataset that may not necessarily capture the interactions between climate factors and rangeland soil dynamics within a smaller region. </w:t>
      </w:r>
      <w:r w:rsidRPr="00C1362F">
        <w:rPr>
          <w:rFonts w:eastAsia="SimSun"/>
          <w:bCs/>
          <w:sz w:val="24"/>
          <w:szCs w:val="24"/>
        </w:rPr>
        <w:t xml:space="preserve">Another explanation is that the STARFM fPAR inputs utilized by RCTM can better capture management-associated changes in rangeland C dynamics. </w:t>
      </w:r>
    </w:p>
    <w:p w14:paraId="3722E2EE" w14:textId="77777777" w:rsidR="00E77D36" w:rsidRDefault="00E77D36" w:rsidP="008A5615">
      <w:pPr>
        <w:spacing w:before="120"/>
        <w:ind w:firstLine="720"/>
        <w:jc w:val="both"/>
        <w:rPr>
          <w:rFonts w:eastAsia="SimSun"/>
          <w:bCs/>
          <w:sz w:val="24"/>
          <w:szCs w:val="24"/>
        </w:rPr>
      </w:pPr>
      <w:r w:rsidRPr="00C1362F">
        <w:rPr>
          <w:rFonts w:eastAsia="SimSun"/>
          <w:bCs/>
          <w:sz w:val="24"/>
          <w:szCs w:val="24"/>
        </w:rPr>
        <w:t xml:space="preserve">To compare our modeling results more broadly with rangeland modeling efforts, we identified several studies that focused on simulating regional-scale C dynamics using activity-driven process-based models.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scitotenv.2012.12.030","ISSN":"00489697","author":[{"dropping-particle":"","family":"Abdalla","given":"Mohamed","non-dropping-particle":"","parse-names":false,"suffix":""},{"dropping-particle":"","family":"Saunders","given":"Matthew","non-dropping-particle":"","parse-names":false,"suffix":""},{"dropping-particle":"","family":"Hastings","given":"Astley","non-dropping-particle":"","parse-names":false,"suffix":""},{"dropping-particle":"","family":"Williams","given":"Mike","non-dropping-particle":"","parse-names":false,"suffix":""},{"dropping-particle":"","family":"Smith","given":"Pete","non-dropping-particle":"","parse-names":false,"suffix":""},{"dropping-particle":"","family":"Osborne","given":"Bruce","non-dropping-particle":"","parse-names":false,"suffix":""},{"dropping-particle":"","family":"Lanigan","given":"Gary","non-dropping-particle":"","parse-names":false,"suffix":""},{"dropping-particle":"","family":"Jones","given":"Mike B.","non-dropping-particle":"","parse-names":false,"suffix":""}],"container-title":"Science of The Total Environment","id":"ITEM-1","issued":{"date-parts":[["2013","11"]]},"page":"325-336","title":"Simulating the impacts of land use in Northwest Europe on Net Ecosystem Exchange (NEE): The role of arable ecosystems, grasslands and forest plantations in climate change mitigation","type":"article-journal","volume":"465"},"uris":["http://www.mendeley.com/documents/?uuid=f5ea8240-4df2-4d48-aa45-e43781a68543"]}],"mendeley":{"formattedCitation":"(Abdalla et al., 2013)","manualFormatting":"Abdalla et al. (2013)","plainTextFormattedCitation":"(Abdalla et al., 2013)","previouslyFormattedCitation":"(Abdalla et al., 2013)"},"properties":{"noteIndex":0},"schema":"https://github.com/citation-style-language/schema/raw/master/csl-citation.json"}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Abdalla et al. (2013)</w:t>
      </w:r>
      <w:r w:rsidRPr="00C1362F">
        <w:rPr>
          <w:rFonts w:eastAsia="SimSun"/>
          <w:bCs/>
          <w:sz w:val="24"/>
          <w:szCs w:val="24"/>
        </w:rPr>
        <w:fldChar w:fldCharType="end"/>
      </w:r>
      <w:r w:rsidRPr="00C1362F">
        <w:rPr>
          <w:rFonts w:eastAsia="SimSun"/>
          <w:bCs/>
          <w:sz w:val="24"/>
          <w:szCs w:val="24"/>
        </w:rPr>
        <w:t xml:space="preserve"> used </w:t>
      </w:r>
      <w:r>
        <w:rPr>
          <w:rFonts w:eastAsia="SimSun"/>
          <w:bCs/>
          <w:sz w:val="24"/>
          <w:szCs w:val="24"/>
        </w:rPr>
        <w:t xml:space="preserve">the </w:t>
      </w:r>
      <w:r w:rsidRPr="00C1362F">
        <w:rPr>
          <w:rFonts w:eastAsia="SimSun"/>
          <w:bCs/>
          <w:sz w:val="24"/>
          <w:szCs w:val="24"/>
        </w:rPr>
        <w:t xml:space="preserve">DNDC model to simulate C dynamics within Irish grasslands and </w:t>
      </w:r>
      <w:r>
        <w:rPr>
          <w:rFonts w:eastAsia="SimSun"/>
          <w:bCs/>
          <w:sz w:val="24"/>
          <w:szCs w:val="24"/>
        </w:rPr>
        <w:t>reported</w:t>
      </w:r>
      <w:r w:rsidRPr="00C1362F">
        <w:rPr>
          <w:rFonts w:eastAsia="SimSun"/>
          <w:bCs/>
          <w:sz w:val="24"/>
          <w:szCs w:val="24"/>
        </w:rPr>
        <w:t xml:space="preserve"> </w:t>
      </w:r>
      <w:r>
        <w:rPr>
          <w:rFonts w:eastAsia="SimSun"/>
          <w:bCs/>
          <w:sz w:val="24"/>
          <w:szCs w:val="24"/>
        </w:rPr>
        <w:t xml:space="preserve">a </w:t>
      </w:r>
      <w:r w:rsidRPr="00C1362F">
        <w:rPr>
          <w:rFonts w:eastAsia="SimSun"/>
          <w:bCs/>
          <w:sz w:val="24"/>
          <w:szCs w:val="24"/>
        </w:rPr>
        <w:t xml:space="preserve">model performance for estimating monthly cumulative C fluxes </w:t>
      </w:r>
      <w:r>
        <w:rPr>
          <w:rFonts w:eastAsia="SimSun"/>
          <w:bCs/>
          <w:sz w:val="24"/>
          <w:szCs w:val="24"/>
        </w:rPr>
        <w:t>(</w:t>
      </w:r>
      <w:r w:rsidRPr="00C1362F">
        <w:rPr>
          <w:rFonts w:eastAsia="SimSun"/>
          <w:bCs/>
          <w:sz w:val="24"/>
          <w:szCs w:val="24"/>
        </w:rPr>
        <w:t>R</w:t>
      </w:r>
      <w:r w:rsidRPr="00C1362F">
        <w:rPr>
          <w:rFonts w:eastAsia="SimSun"/>
          <w:bCs/>
          <w:sz w:val="24"/>
          <w:szCs w:val="24"/>
          <w:vertAlign w:val="superscript"/>
        </w:rPr>
        <w:t>2</w:t>
      </w:r>
      <w:r w:rsidRPr="00C1362F">
        <w:rPr>
          <w:rFonts w:eastAsia="SimSun"/>
          <w:bCs/>
          <w:sz w:val="24"/>
          <w:szCs w:val="24"/>
        </w:rPr>
        <w:t xml:space="preserve"> = 0.51</w:t>
      </w:r>
      <w:r>
        <w:rPr>
          <w:rFonts w:eastAsia="SimSun"/>
          <w:bCs/>
          <w:sz w:val="24"/>
          <w:szCs w:val="24"/>
        </w:rPr>
        <w:t>)</w:t>
      </w:r>
      <w:r w:rsidRPr="00C1362F">
        <w:rPr>
          <w:rFonts w:eastAsia="SimSun"/>
          <w:bCs/>
          <w:sz w:val="24"/>
          <w:szCs w:val="24"/>
        </w:rPr>
        <w:t xml:space="preserve"> that is comparable to ours. The modeling work of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{"citationItems":[{"id":"ITEM-1","itemData":{"DOI":"10.1016/j.agee.2015.09.001","ISSN":"01678809","abstract":"Two independently developed simulation models - the grassland-specific PaSim and the biome-generic Biome-BGC MuSo (BBGC MuSo) - linking climate, soil, vegetation and management to ecosystem biogeochemical cycles were compared in a simulation of carbon (C) and water fluxes. The results were assessed against eddy-covariance flux data from five observational grassland sites representing a range of conditions in Europe: Grillenburg in Germany, Laqueuille in France with both extensive and intensive management, Monte Bondone in Italy and Oensingen in Switzerland. Model comparison (after calibration) gave substantial agreement, the performances being marginal to acceptable for weekly-aggregated gross primary production and ecosystem respiration (R2~0.66-0.91), weekly evapotranspiration (R2~0.78-0.94), soil water content in the topsoil (R2~0.1-0.7) and soil temperature (R2~0.88-0.96). The bias was limited to the range -13 to 9gCm-2week-1 for C fluxes (-11 to 8gCm-2week-1 in case of BBGC MuSo, and -13 to 9gCm-2week-1 in case of PaSim) and -4 to 6mmweek-1 for water fluxes (with BBGC MuSo providing somewhat higher estimates than PaSim), but some higher relative root mean square errors indicate low accuracy for prediction, especially for net ecosystem exchange The sensitivity of simulated outputs to changes in atmospheric carbon dioxide concentration ([CO2]), temperature and precipitation indicate, with certain agreement between the two models, that C outcomes are dominated by [CO2] and temperature gradients, and are less due to precipitation. ET rates decrease with increasing [CO2] in PaSim (consistent with experimental knowledge), while lack of appropriate stomatal response could be a limit in BBGC MuSo responsiveness. Results of the study indicate that some of the errors might be related to the improper representation of soil water content and soil temperature. Improvement is needed in the model representations of soil processes (especially soil water balance) that strongly influence the biogeochemical cycles of managed and unmanaged grasslands.","author":[{"dropping-particle":"","family":"Sándor","given":"R.","non-dropping-particle":"","parse-names":false,"suffix":""},{"dropping-particle":"","family":"Barcza","given":"Z.","non-dropping-particle":"","parse-names":false,"suffix":""},{"dropping-particle":"","family":"Hidy","given":"D.","non-dropping-particle":"","parse-names":false,"suffix":""},{"dropping-particle":"","family":"Lellei-Kovács","given":"E.","non-dropping-particle":"","parse-names":false,"suffix":""},{"dropping-particle":"","family":"Ma","given":"S.","non-dropping-particle":"","parse-names":false,"suffix":""},{"dropping-particle":"","family":"Bellocchi","given":"G.","non-dropping-particle":"","parse-names":false,"suffix":""}],"container-title":"Agriculture, Ecosystems and Environment","id":"ITEM-1","issued":{"date-parts":[["2016"]]},"page":"1-19","title":"Modelling of grassland fluxes in Europe: Evaluation of two biogeochemical models","type":"article-journal","volume":"215"},"uris":["http://www.mendeley.com/documents/?uuid=412628eb-e193-412c-8ef5-a785ccd54f6b"]}],"mendeley":{"formattedCitation":"(Sándor et al., 2016)","manualFormatting":"Sándor et al. (2016)","plainTextFormattedCitation":"(Sándor et al., 2016)","previouslyFormattedCitation":"(Sándor et al., 2016)"},"properties":{"noteIndex":0},"schema":"https://github.com/citation-style-language/schema/raw/master/csl-citation.json"}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Sándor et al. (2016)</w:t>
      </w:r>
      <w:r w:rsidRPr="00C1362F">
        <w:rPr>
          <w:rFonts w:eastAsia="SimSun"/>
          <w:bCs/>
          <w:sz w:val="24"/>
          <w:szCs w:val="24"/>
        </w:rPr>
        <w:fldChar w:fldCharType="end"/>
      </w:r>
      <w:r w:rsidRPr="00C1362F">
        <w:rPr>
          <w:rFonts w:eastAsia="SimSun"/>
          <w:bCs/>
          <w:sz w:val="24"/>
          <w:szCs w:val="24"/>
        </w:rPr>
        <w:t xml:space="preserve"> showed that both the biome-generic Biome-BGC (R</w:t>
      </w:r>
      <w:r w:rsidRPr="00C1362F">
        <w:rPr>
          <w:rFonts w:eastAsia="SimSun"/>
          <w:bCs/>
          <w:sz w:val="24"/>
          <w:szCs w:val="24"/>
          <w:vertAlign w:val="superscript"/>
        </w:rPr>
        <w:t>2</w:t>
      </w:r>
      <w:r w:rsidRPr="00C1362F">
        <w:rPr>
          <w:rFonts w:eastAsia="SimSun"/>
          <w:bCs/>
          <w:sz w:val="24"/>
          <w:szCs w:val="24"/>
        </w:rPr>
        <w:t xml:space="preserve"> = 0.28) and the grassland-specific Pasture Simulation model (R</w:t>
      </w:r>
      <w:r w:rsidRPr="00C1362F">
        <w:rPr>
          <w:rFonts w:eastAsia="SimSun"/>
          <w:bCs/>
          <w:sz w:val="24"/>
          <w:szCs w:val="24"/>
          <w:vertAlign w:val="superscript"/>
        </w:rPr>
        <w:t>2</w:t>
      </w:r>
      <w:r w:rsidRPr="00C1362F">
        <w:rPr>
          <w:rFonts w:eastAsia="SimSun"/>
          <w:bCs/>
          <w:sz w:val="24"/>
          <w:szCs w:val="24"/>
        </w:rPr>
        <w:t xml:space="preserve"> = 0.42) had limited model accuracy for estimating weekly NEE from European grassland sites, despite a higher model performance reported for GPP estimates (R</w:t>
      </w:r>
      <w:r w:rsidRPr="00C1362F">
        <w:rPr>
          <w:rFonts w:eastAsia="SimSun"/>
          <w:bCs/>
          <w:sz w:val="24"/>
          <w:szCs w:val="24"/>
          <w:vertAlign w:val="superscript"/>
        </w:rPr>
        <w:t>2</w:t>
      </w:r>
      <w:r w:rsidRPr="00C1362F">
        <w:rPr>
          <w:rFonts w:eastAsia="SimSun"/>
          <w:bCs/>
          <w:sz w:val="24"/>
          <w:szCs w:val="24"/>
        </w:rPr>
        <w:t xml:space="preserve"> &gt; 0.75). </w:t>
      </w:r>
      <w:r>
        <w:rPr>
          <w:rFonts w:eastAsia="SimSun"/>
          <w:bCs/>
          <w:sz w:val="24"/>
          <w:szCs w:val="24"/>
        </w:rPr>
        <w:t xml:space="preserve">Limited accuracy was reported for simulating RECO from grassland sites using the CENTURY model, unless a time-lag factor is considered to account for legacy climate impacts </w:t>
      </w:r>
      <w:r>
        <w:rPr>
          <w:rFonts w:eastAsia="SimSun"/>
          <w:bCs/>
          <w:sz w:val="24"/>
          <w:szCs w:val="24"/>
        </w:rPr>
        <w:fldChar w:fldCharType="begin" w:fldLock="1"/>
      </w:r>
      <w:r>
        <w:rPr>
          <w:rFonts w:eastAsia="SimSun"/>
          <w:bCs/>
          <w:sz w:val="24"/>
          <w:szCs w:val="24"/>
        </w:rPr>
        <w:instrText>ADDIN CSL_CITATION {"citationItems":[{"id":"ITEM-1","itemData":{"DOI":"10.1029/2000JD900259","ISSN":"01480227","abstract":"We used a daily time step ecosystem model (DAYCENT) to simulate ecosystem processes at a daily, biweekly, monthly, and annual time step. The model effectively represented variability of ecosystem processes at each of these timescales. Evolution of CO2 and N2O, NPP, and net N mineralization were more responsive to variation in precipitation than temperature, while a combined temperature-moisture decomposition factor (DEFAC) was a better predictor than either component alone. Having established the efficacy of CENTURY at representing ecosystem processes at multiple timescales, we used the model to explore interannual variability over the period 1949-1996 using actual daily climate data. Precipitation was more variable than temperature over this period, and our most variable responses were in CO2 flux and NEP. Net ecosystem production averaged 6 g C m-2 yr and varied by 100% over the simulation period. We found no reliable predictors of NEP when compared directly, but when we considered NEP to be lagged by 1 year, predictive power improved. It is clear from our study that NEP is highly variable and difficult to predict. The emerging availability of system-level C balance data from a network of flux towers will not only be an invaluable source of information for assessments of global carbon balance but also a rigorous test for ecosystem models. Copyright 2000 by the American Geophysical Union.","author":[{"dropping-particle":"","family":"Kelly","given":"R. H.","non-dropping-particle":"","parse-names":false,"suffix":""},{"dropping-particle":"","family":"Parton","given":"W. J.","non-dropping-particle":"","parse-names":false,"suffix":""},{"dropping-particle":"","family":"Hartman","given":"M. D.","non-dropping-particle":"","parse-names":false,"suffix":""},{"dropping-particle":"","family":"Stretch","given":"L. K.","non-dropping-particle":"","parse-names":false,"suffix":""},{"dropping-particle":"","family":"Ojima","given":"D. S.","non-dropping-particle":"","parse-names":false,"suffix":""},{"dropping-particle":"","family":"Schimel","given":"D. S.","non-dropping-particle":"","parse-names":false,"suffix":""}],"container-title":"Journal of Geophysical Research Atmospheres","id":"ITEM-1","issue":"D15","issued":{"date-parts":[["2000"]]},"page":"20093-20100","title":"Intra-annual and interannual variability of ecosystem processes in shortgrass steppe","type":"article-journal","volume":"105"},"uris":["http://www.mendeley.com/documents/?uuid=38b5a6b7-9e61-407d-bc4b-b85b83ecd0e6"]}],"mendeley":{"formattedCitation":"(Kelly et al., 2000)","plainTextFormattedCitation":"(Kelly et al., 2000)"},"properties":{"noteIndex":0},"schema":"https://github.com/citation-style-language/schema/raw/master/csl-citation.json"}</w:instrText>
      </w:r>
      <w:r>
        <w:rPr>
          <w:rFonts w:eastAsia="SimSun"/>
          <w:bCs/>
          <w:sz w:val="24"/>
          <w:szCs w:val="24"/>
        </w:rPr>
        <w:fldChar w:fldCharType="separate"/>
      </w:r>
      <w:r w:rsidRPr="009F4EE3">
        <w:rPr>
          <w:rFonts w:eastAsia="SimSun"/>
          <w:bCs/>
          <w:noProof/>
          <w:sz w:val="24"/>
          <w:szCs w:val="24"/>
        </w:rPr>
        <w:t>(Kelly et al., 2000)</w:t>
      </w:r>
      <w:r>
        <w:rPr>
          <w:rFonts w:eastAsia="SimSun"/>
          <w:bCs/>
          <w:sz w:val="24"/>
          <w:szCs w:val="24"/>
        </w:rPr>
        <w:fldChar w:fldCharType="end"/>
      </w:r>
      <w:r>
        <w:rPr>
          <w:rFonts w:eastAsia="SimSun"/>
          <w:bCs/>
          <w:sz w:val="24"/>
          <w:szCs w:val="24"/>
        </w:rPr>
        <w:t xml:space="preserve">. </w:t>
      </w:r>
      <w:r w:rsidRPr="00C1362F">
        <w:rPr>
          <w:rFonts w:eastAsia="SimSun"/>
          <w:bCs/>
          <w:sz w:val="24"/>
          <w:szCs w:val="24"/>
        </w:rPr>
        <w:t xml:space="preserve">Regarding SOC, </w:t>
      </w:r>
      <w:r w:rsidRPr="00C1362F">
        <w:rPr>
          <w:rFonts w:eastAsia="SimSun"/>
          <w:bCs/>
          <w:sz w:val="24"/>
          <w:szCs w:val="24"/>
        </w:rPr>
        <w:fldChar w:fldCharType="begin" w:fldLock="1"/>
      </w:r>
      <w:r w:rsidRPr="00C1362F">
        <w:rPr>
          <w:rFonts w:eastAsia="SimSun"/>
          <w:bCs/>
          <w:sz w:val="24"/>
          <w:szCs w:val="24"/>
        </w:rPr>
        <w:instrText>ADDIN CSL_CITATION {"citationItems":[{"id":"ITEM-1","itemData":{"DOI":"10.1007/s11430-007-2032-2","ISSN":"1006-9313","author":[{"dropping-particle":"","family":"Zhang","given":"YongQiang","non-dropping-particle":"","parse-names":false,"suffix":""},{"dropping-particle":"","family":"Tang","given":"YanHong","non-dropping-particle":"","parse-names":false,"suffix":""},{"dropping-particle":"","family":"Jiang","given":"Jie","non-dropping-particle":"","parse-names":false,"suffix":""},{"dropping-particle":"","family":"Yang","given":"YongHai","non-dropping-particle":"","parse-names":false,"suffix":""}],"container-title":"Science in China Series D: Earth Sciences","id":"ITEM-1","issue":"1","issued":{"date-parts":[["2007","1"]]},"page":"113-120","title":"Characterizing the dynamics of soil organic carbon in grasslands on the Qinghai-Tibetan Plateau","type":"article-journal","volume":"50"},"uris":["http://www.mendeley.com/documents/?uuid=246f6087-e377-4abb-b578-fea156e63095"]}],"mendeley":{"formattedCitation":"(YongQiang Zhang et al., 2007)","manualFormatting":"Zhang et al. (2007)","plainTextFormattedCitation":"(YongQiang Zhang et al., 2007)","previouslyFormattedCitation":"(YongQiang Zhang et al., 2007)"},"properties":{"noteIndex":0},"schema":"https://github.com/citation-style-language/schema/raw/master/csl-citation.json"}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Zhang et al. (2007)</w:t>
      </w:r>
      <w:r w:rsidRPr="00C1362F">
        <w:rPr>
          <w:rFonts w:eastAsia="SimSun"/>
          <w:bCs/>
          <w:sz w:val="24"/>
          <w:szCs w:val="24"/>
        </w:rPr>
        <w:fldChar w:fldCharType="end"/>
      </w:r>
      <w:r w:rsidRPr="00C1362F">
        <w:rPr>
          <w:rFonts w:eastAsia="SimSun"/>
          <w:bCs/>
          <w:sz w:val="24"/>
          <w:szCs w:val="24"/>
        </w:rPr>
        <w:t xml:space="preserve"> reported that CENTURY-simulated surface SOC stocks agreed well (R</w:t>
      </w:r>
      <w:r w:rsidRPr="00C1362F">
        <w:rPr>
          <w:rFonts w:eastAsia="SimSun"/>
          <w:bCs/>
          <w:sz w:val="24"/>
          <w:szCs w:val="24"/>
          <w:vertAlign w:val="superscript"/>
        </w:rPr>
        <w:t>2</w:t>
      </w:r>
      <w:r w:rsidRPr="00C1362F">
        <w:rPr>
          <w:rFonts w:eastAsia="SimSun"/>
          <w:bCs/>
          <w:sz w:val="24"/>
          <w:szCs w:val="24"/>
        </w:rPr>
        <w:t xml:space="preserve"> = 0.68) with measurements </w:t>
      </w:r>
      <w:r>
        <w:rPr>
          <w:rFonts w:eastAsia="SimSun"/>
          <w:bCs/>
          <w:sz w:val="24"/>
          <w:szCs w:val="24"/>
        </w:rPr>
        <w:t>at</w:t>
      </w:r>
      <w:r w:rsidRPr="00C1362F">
        <w:rPr>
          <w:rFonts w:eastAsia="SimSun"/>
          <w:bCs/>
          <w:sz w:val="24"/>
          <w:szCs w:val="24"/>
        </w:rPr>
        <w:t xml:space="preserve"> Qinghai-Tibetan Plateau sites. It should be noted that the variations in model performance between RCTM and these two studies can likely be attributed to differences in geographic coverage. </w:t>
      </w:r>
    </w:p>
    <w:p w14:paraId="50689F46" w14:textId="069A8613" w:rsidR="00E77D36" w:rsidRPr="00C1362F" w:rsidRDefault="00E77D36" w:rsidP="008A5615">
      <w:pPr>
        <w:pStyle w:val="Heading-Secondary"/>
      </w:pPr>
      <w:r w:rsidRPr="00C1362F">
        <w:t xml:space="preserve">4.2 Factors </w:t>
      </w:r>
      <w:r w:rsidR="008A5615">
        <w:t>d</w:t>
      </w:r>
      <w:r w:rsidRPr="00C1362F">
        <w:t xml:space="preserve">riving </w:t>
      </w:r>
      <w:r w:rsidR="008A5615">
        <w:t>r</w:t>
      </w:r>
      <w:r w:rsidRPr="00C1362F">
        <w:t xml:space="preserve">egional </w:t>
      </w:r>
      <w:r w:rsidR="008A5615">
        <w:t>r</w:t>
      </w:r>
      <w:r w:rsidRPr="00C1362F">
        <w:t xml:space="preserve">angeland C </w:t>
      </w:r>
      <w:r w:rsidR="008A5615">
        <w:t>d</w:t>
      </w:r>
      <w:r w:rsidRPr="00C1362F">
        <w:t>ynamics</w:t>
      </w:r>
    </w:p>
    <w:p w14:paraId="58B31FF6" w14:textId="77777777" w:rsidR="00E77D36" w:rsidRPr="00C1362F" w:rsidRDefault="00E77D36" w:rsidP="008A5615">
      <w:pPr>
        <w:spacing w:before="120"/>
        <w:ind w:firstLine="720"/>
        <w:jc w:val="both"/>
        <w:rPr>
          <w:rFonts w:eastAsia="SimSun"/>
          <w:bCs/>
          <w:sz w:val="24"/>
          <w:szCs w:val="24"/>
        </w:rPr>
      </w:pPr>
      <w:r w:rsidRPr="00C1362F">
        <w:rPr>
          <w:rFonts w:eastAsia="SimSun"/>
          <w:bCs/>
          <w:sz w:val="24"/>
          <w:szCs w:val="24"/>
        </w:rPr>
        <w:t xml:space="preserve">The temporal trends observed for GPP and SOC changes are strongly controlled by the pattern observed in </w:t>
      </w:r>
      <w:r>
        <w:rPr>
          <w:rFonts w:eastAsia="SimSun"/>
          <w:bCs/>
          <w:sz w:val="24"/>
          <w:szCs w:val="24"/>
        </w:rPr>
        <w:t xml:space="preserve">the RS-informed </w:t>
      </w:r>
      <w:r w:rsidRPr="00C1362F">
        <w:rPr>
          <w:rFonts w:eastAsia="SimSun"/>
          <w:bCs/>
          <w:sz w:val="24"/>
          <w:szCs w:val="24"/>
        </w:rPr>
        <w:t xml:space="preserve">fPAR values. In perennial and/or annual grass, </w:t>
      </w:r>
      <w:r w:rsidRPr="00C1362F">
        <w:rPr>
          <w:rFonts w:eastAsia="Arial"/>
          <w:sz w:val="24"/>
        </w:rPr>
        <w:t>managed hay and pasture</w:t>
      </w:r>
      <w:r w:rsidRPr="00C1362F">
        <w:rPr>
          <w:rFonts w:eastAsia="SimSun"/>
          <w:bCs/>
          <w:sz w:val="24"/>
          <w:szCs w:val="24"/>
        </w:rPr>
        <w:t xml:space="preserve">, and grass-shrub mixture sites, GPP and SOC remained relatively constant until 2013 </w:t>
      </w:r>
      <w:r w:rsidRPr="00C1362F">
        <w:rPr>
          <w:rFonts w:eastAsia="SimSun"/>
          <w:bCs/>
          <w:sz w:val="24"/>
          <w:szCs w:val="24"/>
        </w:rPr>
        <w:lastRenderedPageBreak/>
        <w:t>and then began to increase (Fig. 7). A similar trend was found for most of the regional-level summaries (</w:t>
      </w:r>
      <w:r>
        <w:rPr>
          <w:rFonts w:eastAsia="SimSun"/>
          <w:bCs/>
          <w:sz w:val="24"/>
          <w:szCs w:val="24"/>
        </w:rPr>
        <w:t xml:space="preserve">SI: </w:t>
      </w:r>
      <w:r w:rsidRPr="00C1362F">
        <w:rPr>
          <w:rFonts w:eastAsia="SimSun"/>
          <w:bCs/>
          <w:sz w:val="24"/>
          <w:szCs w:val="24"/>
        </w:rPr>
        <w:t xml:space="preserve">Fig. </w:t>
      </w:r>
      <w:r>
        <w:rPr>
          <w:rFonts w:eastAsia="SimSun"/>
          <w:bCs/>
          <w:sz w:val="24"/>
          <w:szCs w:val="24"/>
        </w:rPr>
        <w:t>E1</w:t>
      </w:r>
      <w:r w:rsidRPr="00C1362F">
        <w:rPr>
          <w:rFonts w:eastAsia="SimSun"/>
          <w:bCs/>
          <w:sz w:val="24"/>
          <w:szCs w:val="24"/>
        </w:rPr>
        <w:t xml:space="preserve">), which aligned with fPAR changes shown in </w:t>
      </w:r>
      <w:r>
        <w:rPr>
          <w:rFonts w:eastAsia="SimSun"/>
          <w:bCs/>
          <w:sz w:val="24"/>
          <w:szCs w:val="24"/>
        </w:rPr>
        <w:t>SI: Appendix F</w:t>
      </w:r>
      <w:r w:rsidRPr="00C1362F">
        <w:rPr>
          <w:rFonts w:eastAsia="SimSun"/>
          <w:bCs/>
          <w:sz w:val="24"/>
          <w:szCs w:val="24"/>
        </w:rPr>
        <w:t xml:space="preserve">. The fPAR values are often used to represent vegetation greenness </w:t>
      </w:r>
      <w:r w:rsidRPr="00C1362F">
        <w:rPr>
          <w:rFonts w:eastAsia="SimSun"/>
          <w:bCs/>
          <w:sz w:val="24"/>
          <w:szCs w:val="24"/>
        </w:rPr>
        <w:fldChar w:fldCharType="begin" w:fldLock="1"/>
      </w:r>
      <w:r w:rsidRPr="00C1362F">
        <w:rPr>
          <w:rFonts w:eastAsia="SimSun"/>
          <w:bCs/>
          <w:sz w:val="24"/>
          <w:szCs w:val="24"/>
        </w:rPr>
        <w:instrText>ADDIN CSL_CITATION {"citationItems":[{"id":"ITEM-1","itemData":{"DOI":"10.5194/bg-11-7025-2014","ISSN":"17264189","abstract":"Existing dynamic global vegetation models (DGVMs) have a limited ability in reproducing phenology and decadal dynamics of vegetation greenness as observed by satellites. These limitations in reproducing observations reflect a poor understanding and description of the environmental controls on phenology, which strongly influence the ability to simulate longer-term vegetation dynamics, e.g. carbon allocation. Combining DGVMs with observational data sets can potentially help to revise current modelling approaches and thus enhance the understanding of processes that control seasonal to long-term vegetation greenness dynamics. Here we implemented a new phenology model within the LPJmL (Lund Potsdam Jena managed lands) DGVM and integrated several observational data sets to improve the ability of the model in reproducing satellite-derived time series of vegetation greenness. Specifically, we optimized LPJmL parameters against observational time series of the fraction of absorbed photosynthetic active radiation (FAPAR), albedo and gross primary production to identify the main environmental controls for seasonal vegetation greenness dynamics. We demonstrated that LPJmL with new phenology and optimized parameters better reproduces seasonality, inter-annual variability and trends of vegetation greenness. Our results indicate that soil water availability is an important control on vegetation phenology not only in water-limited biomes but also in boreal forests and the Arctic tundra. Whereas water availability controls phenology in water-limited ecosystems during the entire growing season, water availability co-modulates jointly with temperature the beginning of the growing season in boreal and Arctic regions. Additionally, water availability contributes to better explain decadal greening trends in the Sahel and browning trends in boreal forests. These results emphasize the importance of considering water availability in a new generation of phenology modules in DGVMs in order to correctly reproduce observed seasonal-to-decadal dynamics of vegetation greenness.","author":[{"dropping-particle":"","family":"Forkel","given":"M.","non-dropping-particle":"","parse-names":false,"suffix":""},{"dropping-particle":"","family":"Carvalhais","given":"N.","non-dropping-particle":"","parse-names":false,"suffix":""},{"dropping-particle":"","family":"Schaphoff","given":"S.","non-dropping-particle":"","parse-names":false,"suffix":""},{"dropping-particle":"V.","family":"Bloh","given":"W.","non-dropping-particle":"","parse-names":false,"suffix":""},{"dropping-particle":"","family":"Migliavacca","given":"M.","non-dropping-particle":"","parse-names":false,"suffix":""},{"dropping-particle":"","family":"Thurner","given":"M.","non-dropping-particle":"","parse-names":false,"suffix":""},{"dropping-particle":"","family":"Thonicke","given":"K.","non-dropping-particle":"","parse-names":false,"suffix":""}],"container-title":"Biogeosciences","id":"ITEM-1","issue":"23","issued":{"date-parts":[["2014"]]},"page":"7025-7050","title":"Identifying environmental controls on vegetation greenness phenology through model-data integration","type":"article-journal","volume":"11"},"uris":["http://www.mendeley.com/documents/?uuid=c5e29fd8-0ad1-4824-8c3f-423412d9c8a8"]},{"id":"ITEM-2","itemData":{"DOI":"10.1029/2007JG000599","ISSN":"01480227","abstract":"Dynamic global vegetation models (DGVMs) simulate ecosystem responses to multiple environmental factors. Traditionally, these models were evaluated with sparse ground measurements, but satellite observations now allow evaluation at model grid cell scales with near-global coverage. Agro-IBIS is the first DGVM to explicitly simulate the major crop types of the United States. We evaluate these simulated agroecosystems using satellite information of greenness for the first time at the regional scale. We compare Agro-IBIS-simulated leaf area index (LAI) and fraction of absorbed photosynthetically active radiation (FPAR) of crops, forests, and grasses with AVHRR (1982-2000) and MODIS (2000-2002) LAI and FPAR data sets across the central and eastern United States. Compared with MODIS data, Agro-IBIS overestimates growing season LAI over broadleaf crops and simulates reasonable but lower growing season LAI over deciduous forest, with an early onset bias in the southern region. Agro-IBIS underestimates needleleaf forest LAI and substantially overestimates the magnitude of grassland growing season LAI, with an early onset bias of one month. Similar bias patterns in FPAR occur in all biomes. While we do not trust the LAI/FPAR magnitudes from AVHRR data, we do suggest that AVHRR data may be used to evaluate the timing of onset and offset of the growing season of broadleaf crops and grasses. Evaluation of broadleaf crop peak LAI from Agro-IBIS and MODIS with ground measurements shows significant discrepancies. Continuing improvements in DGVMs (especially grass algorithms in Agro-IBIS) and validation of satellite data sets (especially over crops in MODIS) are needed to understand regional-scale terrestrial ecosystem processes. Copyright 2008 by the American Geophysical Union.","author":[{"dropping-particle":"","family":"Twine","given":"Tracy E.","non-dropping-particle":"","parse-names":false,"suffix":""},{"dropping-particle":"","family":"Kucharik","given":"Christopher J.","non-dropping-particle":"","parse-names":false,"suffix":""}],"container-title":"Journal of Geophysical Research: Biogeosciences","id":"ITEM-2","issue":"3","issued":{"date-parts":[["2008"]]},"page":"e2007JG000599","title":"Evaluating a terrestrial ecosystem model with satellite information of greenness","type":"article-journal","volume":"113"},"uris":["http://www.mendeley.com/documents/?uuid=5658aff4-f908-4d8e-80f1-dadae1c1bb99"]}],"mendeley":{"formattedCitation":"(Forkel et al., 2014; Twine &amp; Kucharik, 2008)","plainTextFormattedCitation":"(Forkel et al., 2014; Twine &amp; Kucharik, 2008)","previouslyFormattedCitation":"(Forkel et al., 2014; Twine &amp; Kucharik, 2008)"},"properties":{"noteIndex":0},"schema":"https://github.com/citation-style-language/schema/raw/master/csl-citation.json"}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(Forkel et al., 2014; Twine &amp; Kucharik, 2008)</w:t>
      </w:r>
      <w:r w:rsidRPr="00C1362F">
        <w:rPr>
          <w:rFonts w:eastAsia="SimSun"/>
          <w:bCs/>
          <w:sz w:val="24"/>
          <w:szCs w:val="24"/>
        </w:rPr>
        <w:fldChar w:fldCharType="end"/>
      </w:r>
      <w:r w:rsidRPr="00C1362F">
        <w:rPr>
          <w:rFonts w:eastAsia="SimSun"/>
          <w:bCs/>
          <w:sz w:val="24"/>
          <w:szCs w:val="24"/>
        </w:rPr>
        <w:t xml:space="preserve">. In this context, rangeland greenness can be influenced </w:t>
      </w:r>
      <w:r>
        <w:rPr>
          <w:rFonts w:eastAsia="SimSun"/>
          <w:bCs/>
          <w:sz w:val="24"/>
          <w:szCs w:val="24"/>
        </w:rPr>
        <w:t xml:space="preserve">both </w:t>
      </w:r>
      <w:r w:rsidRPr="00C1362F">
        <w:rPr>
          <w:rFonts w:eastAsia="SimSun"/>
          <w:bCs/>
          <w:sz w:val="24"/>
          <w:szCs w:val="24"/>
        </w:rPr>
        <w:t xml:space="preserve">by environmental conditions and management practices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{"citationItems":[{"id":"ITEM-1","itemData":{"DOI":"10.1016/j.rala.2019.02.001","ISSN":"1551501X","abstract":"Plant phenology—timing of seasonal life cycle events—is a primary control on ecosystem productivity. • Phenology data can be used to design better management systems by adjusting the timing of grazing or managed burns relative to growth stages of key species and planning restoration activities, such as targeted grazing. • Tower-mounted digital cameras (phenocams) provide a cost-effective way to collect data to capture phenology metrics for vegetation greenness. • Phenocam greenness values can provide canopy-level metrics in real time for a fraction of the cost of field observations and link field and satellite observations to reveal species contributions to greenness.","author":[{"dropping-particle":"","family":"Browning","given":"Dawn M.","non-dropping-particle":"","parse-names":false,"suffix":""},{"dropping-particle":"","family":"Snyder","given":"Keirith A.","non-dropping-particle":"","parse-names":false,"suffix":""},{"dropping-particle":"","family":"Herrick","given":"Jeffrey E.","non-dropping-particle":"","parse-names":false,"suffix":""}],"container-title":"Rangelands","id":"ITEM-1","issue":"3","issued":{"date-parts":[["2019"]]},"page":"129-134","title":"Plant phenology: Taking the pulse of rangelands","type":"article-journal","volume":"41"},"uris":["http://www.mendeley.com/documents/?uuid=c73428ae-ff5d-4db0-a0f8-6f19e00bc74b"]},{"id":"ITEM-2","itemData":{"DOI":"10.1016/j.jaridenv.2021.104661","ISSN":"1095922X","abstract":"We present a framework for mapping grazing management units in extensive pastoral landscapes. Mapping such units from remote sensing, particularly in the pastoral landscapes of East Africa, is usually hampered by high cost of field data collection and by the fact that the relationship between rangeland ecological characteristics and rangeland use for adaptive grazing management by mobile pastoralists is context specific and reflects complex socio-ecological interactions. We propose, therefore, a flexible framework that combines topographic descriptors with rangeland greenness and phenology indicators derived by remote sensing imagery to derive thematic classes that users can query, according to their requirements, to produce grazing management units. The framework is illustrated for an extensive pastoral region in Southern Ethiopia. The thematic classes generated were statistically compared with Plant Functional Types (PFTs) classes obtained by interpretation of GPS-tagged photos, showing a highly significant relationship (Chi-Square test, χ2 = 5971.4, p = 0.0001). Then, the same classes were further classified into grazing management units by integrating information about rangeland seasonal use and accessibility from pastoral communities. This approach could support the definition of adaptive community-based rangeland management strategies by combining ecologically meaningful maps derived by satellite indicators with local knowledge about rangeland use and accessibility.","author":[{"dropping-particle":"","family":"Shibia","given":"Mohamed G.","non-dropping-particle":"","parse-names":false,"suffix":""},{"dropping-particle":"","family":"Röder","given":"Achim","non-dropping-particle":"","parse-names":false,"suffix":""},{"dropping-particle":"Pietro","family":"Fava","given":"Francesco","non-dropping-particle":"","parse-names":false,"suffix":""},{"dropping-particle":"","family":"Stellmes","given":"Marion","non-dropping-particle":"","parse-names":false,"suffix":""},{"dropping-particle":"","family":"Hill","given":"Joachim","non-dropping-particle":"","parse-names":false,"suffix":""}],"container-title":"Journal of Arid Environments","id":"ITEM-2","issued":{"date-parts":[["2022"]]},"page":"e104661","title":"Integrating satellite images and topographic data for mapping seasonal grazing management units in pastoral landscapes of eastern Africa","type":"article-journal","volume":"197"},"uris":["http://www.mendeley.com/documents/?uuid=30621e41-86ba-4679-871c-041371328ce3"]},{"id":"ITEM-3","itemData":{"DOI":"10.1016/j.jaridenv.2018.10.001","ISSN":"1095922X","abstract":"Large-scale drought and wet phases, via ecosystem responses, can significantly influence the global atmospheric carbon budget. Australian landscapes, dominated by arid and semi-arid rangelands, play an important role in this regard. In this study, temporal variation of monthly Normalised Difference Vegetation Index (NDVI) of two rangelands with different grazing intensity were analysed against monthly precipitation and Gravity Recovery and Climate Experiment (GRACE) total water storage (TWS). The results show that regardless grazing regime, over 55% temporal variation of monthly NDVI anomaly can be explained by structured cumulative antecedent precipitation. It appears that the antecedent precipitation forms better predictor variables than GRACE TWS for this study area. The results also show that both grazing and drought reduce vegetation cover, and its response to precipitation. Drought exacerbates the grazing impact on NDVI-precipitation response. These results imply that grazing in arid and semi-arid rangelands can reduce the capacity of ecosystems to assimilate atmospheric CO2 during wet years and episodic wet events. It is important to incorporate temporal structures of intra- and inter-annual antecedent precipitation in investigating vegetation dynamic responses to precipitation. By doing so, it is possible to predict monthly vegetation dynamics to support grazing management.","author":[{"dropping-particle":"","family":"Long","given":"Xunjian","non-dropping-particle":"","parse-names":false,"suffix":""},{"dropping-particle":"","family":"Guan","given":"Huade","non-dropping-particle":"","parse-names":false,"suffix":""},{"dropping-particle":"","family":"Sinclair","given":"Russell","non-dropping-particle":"","parse-names":false,"suffix":""},{"dropping-particle":"","family":"Batelaan","given":"Okke","non-dropping-particle":"","parse-names":false,"suffix":""},{"dropping-particle":"","family":"Facelli","given":"José M.","non-dropping-particle":"","parse-names":false,"suffix":""},{"dropping-particle":"","family":"Andrew","given":"Robert L.","non-dropping-particle":"","parse-names":false,"suffix":""},{"dropping-particle":"","family":"Bestland","given":"Erick","non-dropping-particle":"","parse-names":false,"suffix":""}],"container-title":"Journal of Arid Environments","id":"ITEM-3","issued":{"date-parts":[["2019"]]},"page":"64-71","title":"Response of vegetation cover to climate variability in protected and grazed arid rangelands of South Australia","type":"article-journal","volume":"161"},"uris":["http://www.mendeley.com/documents/?uuid=3f3eaf0d-83a0-48d1-a61a-b33243e6b116"]}],"mendeley":{"formattedCitation":"(Browning et al., 2019; Long et al., 2019; Shibia et al., 2022)","plainTextFormattedCitation":"(Browning et al., 2019; Long et al., 2019; Shibia et al., 2022)","previouslyFormattedCitation":"(Browning et al., 2019; Long et al., 2019; Shibia et al., 2022)"},"properties":{"noteIndex":0},"schema":"https://github.com/citation-style-language/schema/raw/master/csl-citation.json"}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(Browning et al., 2019; Long et al., 2019; Shibia et al., 2022)</w:t>
      </w:r>
      <w:r w:rsidRPr="00C1362F">
        <w:rPr>
          <w:rFonts w:eastAsia="SimSun"/>
          <w:bCs/>
          <w:sz w:val="24"/>
          <w:szCs w:val="24"/>
        </w:rPr>
        <w:fldChar w:fldCharType="end"/>
      </w:r>
      <w:r w:rsidRPr="00C1362F">
        <w:rPr>
          <w:rFonts w:eastAsia="SimSun"/>
          <w:bCs/>
          <w:sz w:val="24"/>
          <w:szCs w:val="24"/>
        </w:rPr>
        <w:t xml:space="preserve">. </w:t>
      </w:r>
    </w:p>
    <w:p w14:paraId="6ADE10E8" w14:textId="3B3285EC" w:rsidR="00E77D36" w:rsidRPr="00C1362F" w:rsidRDefault="00E77D36" w:rsidP="008A5615">
      <w:pPr>
        <w:spacing w:before="120"/>
        <w:ind w:firstLine="720"/>
        <w:jc w:val="both"/>
        <w:rPr>
          <w:rFonts w:eastAsia="SimSun"/>
          <w:bCs/>
          <w:sz w:val="24"/>
          <w:szCs w:val="24"/>
        </w:rPr>
      </w:pPr>
      <w:r w:rsidRPr="00C1362F">
        <w:rPr>
          <w:rFonts w:eastAsia="SimSun"/>
          <w:bCs/>
          <w:sz w:val="24"/>
          <w:szCs w:val="24"/>
        </w:rPr>
        <w:t>The annual average fPAR correlated strongly (R &gt; 0.6) with soil moisture (Table 3), which is in line with the significant correlations (R &gt; 0.5, P &lt; 0.05) computed between fPAR and annual precipitation at the regional scale (</w:t>
      </w:r>
      <w:r>
        <w:rPr>
          <w:rFonts w:eastAsia="SimSun"/>
          <w:bCs/>
          <w:sz w:val="24"/>
          <w:szCs w:val="24"/>
        </w:rPr>
        <w:t>SI: Fig</w:t>
      </w:r>
      <w:r w:rsidR="008A5615">
        <w:rPr>
          <w:rFonts w:eastAsia="SimSun"/>
          <w:bCs/>
          <w:sz w:val="24"/>
          <w:szCs w:val="24"/>
        </w:rPr>
        <w:t>.</w:t>
      </w:r>
      <w:r>
        <w:rPr>
          <w:rFonts w:eastAsia="SimSun"/>
          <w:bCs/>
          <w:sz w:val="24"/>
          <w:szCs w:val="24"/>
        </w:rPr>
        <w:t xml:space="preserve"> </w:t>
      </w:r>
      <w:r w:rsidR="008A5615">
        <w:rPr>
          <w:rFonts w:eastAsia="SimSun"/>
          <w:bCs/>
          <w:sz w:val="24"/>
          <w:szCs w:val="24"/>
        </w:rPr>
        <w:t>G</w:t>
      </w:r>
      <w:r>
        <w:rPr>
          <w:rFonts w:eastAsia="SimSun"/>
          <w:bCs/>
          <w:sz w:val="24"/>
          <w:szCs w:val="24"/>
        </w:rPr>
        <w:t>1</w:t>
      </w:r>
      <w:r w:rsidRPr="00C1362F">
        <w:rPr>
          <w:rFonts w:eastAsia="SimSun"/>
          <w:bCs/>
          <w:sz w:val="24"/>
          <w:szCs w:val="24"/>
        </w:rPr>
        <w:t xml:space="preserve">). Our simulation results suggest that increased rangeland greenness </w:t>
      </w:r>
      <w:r>
        <w:rPr>
          <w:rFonts w:eastAsia="SimSun"/>
          <w:bCs/>
          <w:sz w:val="24"/>
          <w:szCs w:val="24"/>
        </w:rPr>
        <w:t>was often</w:t>
      </w:r>
      <w:r w:rsidRPr="00C1362F">
        <w:rPr>
          <w:rFonts w:eastAsia="SimSun"/>
          <w:bCs/>
          <w:sz w:val="24"/>
          <w:szCs w:val="24"/>
        </w:rPr>
        <w:t xml:space="preserve"> associated with higher annual precipitation levels, particularly at the grass-shrub mixture and grass-tree mixture sites. This finding is in line with previous work that reported enhanced rangeland productivity in wetter years </w:t>
      </w:r>
      <w:r w:rsidRPr="00C1362F">
        <w:rPr>
          <w:rFonts w:eastAsia="SimSun"/>
          <w:bCs/>
          <w:sz w:val="24"/>
          <w:szCs w:val="24"/>
        </w:rPr>
        <w:fldChar w:fldCharType="begin" w:fldLock="1"/>
      </w:r>
      <w:r>
        <w:rPr>
          <w:rFonts w:eastAsia="SimSun"/>
          <w:bCs/>
          <w:sz w:val="24"/>
          <w:szCs w:val="24"/>
        </w:rPr>
        <w:instrText xml:space="preserve">ADDIN CSL_CITATION {"citationItems":[{"id":"ITEM-1","itemData":{"DOI":"10.1007/s10584-013-0758-8","ISSN":"01650009","abstract":"Climate change is predicted to alter the rainfall regime in the Eastern Mediterranean Basin: total annual rainfall will decrease, while seasonal and inter-annual variation in rainfall will increase. Such changes in the rainfall regime could potentially lead to large-scale changes in aboveground net primary productivity (ANPP) in the region. We conducted a data-driven evaluation of herbaceous ANPP along an entire regional rainfall gradient, from desert (90 mm MAR [Mean Annual Rainfall]) to Mesic-Mediterranean (780 mm MAR) ecosystems, using the largest database ever collated for herbaceous ANPP in Israel, with the aim of predicting consequences of climate change for rangeland productivity. This research revealed that herbaceous ANPP increases with increasing rainfall along the gradient, but strong dependence on rainfall was only apparent within dry sites. Rain Use Efficiency peaks at mid-gradient in Mediterranean sites without woody vegetation (560 and 610 mm MAR). Inter-annual coefficients of variation in rainfall and herbaceous ANPP decrease along the rainfall gradient up to ca. 500 mm MAR. Climate change is more likely to affect herbaceous ANPP of rangelands in the arid end of the rainfall gradient, requiring adaptation of rangeland management, while ANPP of rangelands in more mesic ecosystems is less responsive to variation in rainfall. We conclude that herbaceous ANPP in most Mediterranean rangelands is less vulnerable to climate change than generally predicted. © 2013 Springer Science+Business Media Dordrecht.","author":[{"dropping-particle":"","family":"Golodets","given":"Carly","non-dropping-particle":"","parse-names":false,"suffix":""},{"dropping-particle":"","family":"Sternberg","given":"Marcelo","non-dropping-particle":"","parse-names":false,"suffix":""},{"dropping-particle":"","family":"Kigel","given":"Jaime","non-dropping-particle":"","parse-names":false,"suffix":""},{"dropping-particle":"","family":"Boeken","given":"Bertrand","non-dropping-particle":"","parse-names":false,"suffix":""},{"dropping-particle":"","family":"Henkin","given":"Zalmen","non-dropping-particle":"","parse-names":false,"suffix":""},{"dropping-particle":"","family":"Seligman","given":"No'am G.","non-dropping-particle":"","parse-names":false,"suffix":""},{"dropping-particle":"","family":"Ungar","given":"Eugene David","non-dropping-particle":"","parse-names":false,"suffix":""}],"container-title":"Climatic Change","id":"ITEM-1","issue":"3-4","issued":{"date-parts":[["2013"]]},"page":"785-798","title":"From desert to Mediterranean rangelands: Will increasing drought and inter-annual rainfall variability affect herbaceous annual primary productivity?","type":"article-journal","volume":"119"},"uris":["http://www.mendeley.com/documents/?uuid=52d9d454-bba0-4fa7-8669-5af65775767c"]},{"id":"ITEM-2","itemData":{"DOI":"10.1088/1748-9326/abc64d","ISSN":"17489326","abstract":"Rangelands are a key global resource, providing a broad range of ecological services and economic benefits. California's predominantly annual rangelands cover </w:instrText>
      </w:r>
      <w:r>
        <w:rPr>
          <w:rFonts w:ascii="Cambria Math" w:eastAsia="SimSun" w:hAnsi="Cambria Math" w:cs="Cambria Math"/>
          <w:bCs/>
          <w:sz w:val="24"/>
          <w:szCs w:val="24"/>
        </w:rPr>
        <w:instrText>∼</w:instrText>
      </w:r>
      <w:r>
        <w:rPr>
          <w:rFonts w:eastAsia="SimSun"/>
          <w:bCs/>
          <w:sz w:val="24"/>
          <w:szCs w:val="24"/>
        </w:rPr>
        <w:instrText>12% of the state's land area, and the forage production is highly heterogeneous, making balancing economic (grazing), conservation (habitat) and environmental (erosion/water quality) objectives a big challenge. Herein, we examined how climate and environmental factors regulate annual grassland forage production spatially across the state and among four ecoregions using machine learning models. We estimated annual forage production at 30 m resolution over a 14 year period (2004-2017) using satellite images and data fusion techniques. Our satellite-based estimation agreed well with independent field measurements, with a R2 of 0.83 and RMSE of 682 kg ha-1. Forage production (14 year average) showed large spatial variability (2940 ± 934 kg ha-1 yr-1; CV = 35%) across the study area. The gradient boosted regression tree with 11 feature variables explained 67% of the variability in forage production across the state. Precipitation amount, especially in November (germination) and April (rapid growth), was found as the dominant driver for spatial variation in forage production, especially in drier ecoregions and during drier years. Seasonal distribution of precipitation and minimum air temperature showed a relatively stronger control on forage production in wetter regions and during wet years. Additionally, solar energy became more important in wetter ecoregions. Drought reduced forage production from the long-term mean, i.e. a 33% ± 19% decrease in production (2397 ± 926 kg ha-1yr-1; CV = 38%) resulting from a 29% ± 5% decrease in precipitation. The machine learning based spatial analysis using 'big data' provided insights on impacts of climate and environmental factors on forage production variation at various scales. This study demonstrates a cost-effective approach for rapid mapping and assessment of annual forage production with the potential for near real-time application.","author":[{"dropping-particle":"","family":"Liu","given":"Han","non-dropping-particle":"","parse-names":false,"suffix":""},{"dropping-particle":"","family":"Jin","given":"Yufang","non-dropping-particle":"","parse-names":false,"suffix":""},{"dropping-particle":"","family":"Roche","given":"Leslie M.","non-dropping-particle":"","parse-names":false,"suffix":""},{"dropping-particle":"","family":"O'Geen","given":"Anthony T.","non-dropping-particle":"","parse-names":false,"suffix":""},{"dropping-particle":"","family":"Dahlgren","given":"Randy A.","non-dropping-particle":"","parse-names":false,"suffix":""}],"container-title":"Environmental Research Letters","id":"ITEM-2","issue":"1","issued":{"date-parts":[["2021"]]},"page":"e014043","title":"Understanding spatial variability of forage production in California grasslands: Delineating climate, topography and soil controls","type":"article-journal","volume":"16"},"uris":["http://www.mendeley.com/documents/?uuid=b06ce47f-ffcb-49a0-bf7d-e0946adc851f"]},{"id":"ITEM-3","itemData":{"DOI":"10.1016/j.agrformet.2023.109584","ISSN":"01681923","abstract":"Eddy covariance measurements of land-atmosphere energy, carbon, and water exchange now span multiple decades at some sites, supporting an improved understanding of flux interannual variability (IAV) and its ecophysiological and physical controls. Most eddy covariance IAV studies have focused on temperate forest ecosystems, where carbon fluxes are large and flux records are longest – but also where IAV is much lower than in dryland regions, which have been identified as an essential driver of the trend and variability in the global terrestrial carbon sink. In this study, we leveraged 19 years of continuous micrometeorological measurements at the AmeriFlux US-SRM mesquite savanna site in southern Arizona, USA to quantify the IAV, trends, and drivers of carbon fluxes during the distinct spring and summer growing seasons. We also assessed the ability of modern satellite and land surface models to capture the IAV of seasonal water and carbon fluxes. Annual net ecosystem production (NEP) was small and highly variable (23 +/- 64 gC m −2 yr−1). Precipitation and associated measures of water availability determined most of the variability in NEP, largely through their influence on annual and seasonal gross ecosystem productivity (GEP) as opposed to ecosystem respiration (ER). Root-zone soil moisture captured between 73% (spring) and 85% (summer) of GEP variability and between 73% (spring) and 58% (summer) of ER variability. Throughout the study period, soil moisture and greenness increased with associated increases in GEP, ER and NEP. These trends were strongly influenced by very productive and wet summer growing seasons during the last two years, which were characterized by abundant understory grass cover. Typically, less than half of the variability in growing season GEP and evapotranspiration was captured by satellite-based estimates and land surface model simulations with local site forcing and calibration, highlighting the ongoing utility of long-term datasets to support careful model testing and improvement.","author":[{"dropping-particle":"","family":"Scott","given":"Russell L.","non-dropping-particle":"","parse-names":false,"suffix":""},{"dropping-particle":"","family":"Johnston","given":"Miriam R.","non-dropping-particle":"","parse-names":false,"suffix":""},{"dropping-particle":"","family":"Knowles","given":"John F.","non-dropping-particle":"","parse-names":false,"suffix":""},{"dropping-particle":"","family":"MacBean","given":"Natasha","non-dropping-particle":"","parse-names":false,"suffix":""},{"dropping-particle":"","family":"Mahmud","given":"Kashif","non-dropping-particle":"","parse-names":false,"suffix":""},{"dropping-particle":"","family":"Roby","given":"Matt C.","non-dropping-particle":"","parse-names":false,"suffix":""},{"dropping-particle":"","family":"Dannenberg","given":"Matthew P.","non-dropping-particle":"","parse-names":false,"suffix":""}],"container-title":"Agricultural and Forest Meteorology","id":"ITEM-3","issued":{"date-parts":[["2023"]]},"page":"e109584","title":"Interannual variability of spring and summer monsoon growing season carbon exchange at a semiarid savanna over nearly two decades","type":"article-journal","volume":"339"},"uris":["http://www.mendeley.com/documents/?uuid=7c17bd31-f802-4349-b425-b595d4421c04"]}],"mendeley":{"formattedCitation":"(Golodets et al., 2013; Liu et al., 2021; Scott et al., 2023)","plainTextFormattedCitation":"(Golodets et al., 2013; Liu et al., 2021; Scott et al., 2023)","previouslyFormattedCitation":"(Golodets et al., 2013; Liu et al., 2021; Scott et al., 2023)"},"properties":{"noteIndex":0},"schema":"https://github.com/citation-style-language/schema/raw/master/csl-citation.json"}</w:instrText>
      </w:r>
      <w:r w:rsidRPr="00C1362F">
        <w:rPr>
          <w:rFonts w:eastAsia="SimSun"/>
          <w:bCs/>
          <w:sz w:val="24"/>
          <w:szCs w:val="24"/>
        </w:rPr>
        <w:fldChar w:fldCharType="separate"/>
      </w:r>
      <w:r w:rsidRPr="0085706B">
        <w:rPr>
          <w:rFonts w:eastAsia="SimSun"/>
          <w:bCs/>
          <w:noProof/>
          <w:sz w:val="24"/>
          <w:szCs w:val="24"/>
        </w:rPr>
        <w:t>(Golodets et al., 2013; Liu et al., 2021; Scott et al., 2023)</w:t>
      </w:r>
      <w:r w:rsidRPr="00C1362F">
        <w:rPr>
          <w:rFonts w:eastAsia="SimSun"/>
          <w:bCs/>
          <w:sz w:val="24"/>
          <w:szCs w:val="24"/>
        </w:rPr>
        <w:fldChar w:fldCharType="end"/>
      </w:r>
      <w:r w:rsidRPr="00C1362F">
        <w:rPr>
          <w:rFonts w:eastAsia="SimSun"/>
          <w:bCs/>
          <w:sz w:val="24"/>
          <w:szCs w:val="24"/>
        </w:rPr>
        <w:t xml:space="preserve">. Strong correlation (R = 0.64) was also found between fPAR and air temperature for perennial and/or annual grass sites; however, this correlation was less certain for other </w:t>
      </w:r>
      <w:r>
        <w:rPr>
          <w:rFonts w:eastAsia="SimSun"/>
          <w:bCs/>
          <w:sz w:val="24"/>
          <w:szCs w:val="24"/>
        </w:rPr>
        <w:t>vegetation types</w:t>
      </w:r>
      <w:r w:rsidRPr="00C1362F">
        <w:rPr>
          <w:rFonts w:eastAsia="SimSun"/>
          <w:bCs/>
          <w:sz w:val="24"/>
          <w:szCs w:val="24"/>
        </w:rPr>
        <w:t xml:space="preserve"> or aggregated at the regional scale (</w:t>
      </w:r>
      <w:r>
        <w:rPr>
          <w:rFonts w:eastAsia="SimSun"/>
          <w:bCs/>
          <w:sz w:val="24"/>
          <w:szCs w:val="24"/>
        </w:rPr>
        <w:t>SI: Fig</w:t>
      </w:r>
      <w:r w:rsidR="008A5615">
        <w:rPr>
          <w:rFonts w:eastAsia="SimSun"/>
          <w:bCs/>
          <w:sz w:val="24"/>
          <w:szCs w:val="24"/>
        </w:rPr>
        <w:t>.</w:t>
      </w:r>
      <w:r>
        <w:rPr>
          <w:rFonts w:eastAsia="SimSun"/>
          <w:bCs/>
          <w:sz w:val="24"/>
          <w:szCs w:val="24"/>
        </w:rPr>
        <w:t xml:space="preserve"> </w:t>
      </w:r>
      <w:r w:rsidR="008A5615">
        <w:rPr>
          <w:rFonts w:eastAsia="SimSun"/>
          <w:bCs/>
          <w:sz w:val="24"/>
          <w:szCs w:val="24"/>
        </w:rPr>
        <w:t>G</w:t>
      </w:r>
      <w:r>
        <w:rPr>
          <w:rFonts w:eastAsia="SimSun"/>
          <w:bCs/>
          <w:sz w:val="24"/>
          <w:szCs w:val="24"/>
        </w:rPr>
        <w:t>1</w:t>
      </w:r>
      <w:r w:rsidRPr="00C1362F">
        <w:rPr>
          <w:rFonts w:eastAsia="SimSun"/>
          <w:bCs/>
          <w:sz w:val="24"/>
          <w:szCs w:val="24"/>
        </w:rPr>
        <w:t xml:space="preserve">). The uncertainty may stem from enhanced vegetation metabolism, increased SOM decomposition, and a prolonged growing season linked to higher temperatures, but is likely reversed by plant growth inhibition induced by heat or water stress </w:t>
      </w:r>
      <w:r w:rsidRPr="00C1362F">
        <w:rPr>
          <w:rFonts w:eastAsia="SimSun"/>
          <w:bCs/>
          <w:sz w:val="24"/>
          <w:szCs w:val="24"/>
        </w:rPr>
        <w:fldChar w:fldCharType="begin" w:fldLock="1"/>
      </w:r>
      <w:r w:rsidRPr="00C1362F">
        <w:rPr>
          <w:rFonts w:eastAsia="SimSun"/>
          <w:bCs/>
          <w:sz w:val="24"/>
          <w:szCs w:val="24"/>
        </w:rPr>
        <w:instrText>ADDIN CSL_CITATION {"citationItems":[{"id":"ITEM-1","itemData":{"DOI":"10.2134/agronj2010.0304","ISSN":"00021962","abstract":"Projections of temperature and precipitation patterns across the United States during the next 50 yr anticipate a 1.5 to 2°C warming and a slight increase in precipitation as a result of global climate change. There have been relatively few studies of climate change effects on pasture and rangeland (grazingland) species compared to those on crop species, despite the economic and ecological importance of the former. Here we review the literature on responses of pastureland and rangeland species to rising atmospheric CO2 and climate change (temperature and precipitation) and discuss plant and management factors likely to influence pastureland and rangeland responses to change (e.g., community composition, plant competition, perennial growth habit, seasonal productivity, and management methods). Overall, the response of pastureland and rangeland species to increased [CO2] is consistent with the general responses of C3 and C4 vegetation, although exceptions exist. Both pastureland and rangeland species may experience accelerated metabolism and advanced development with rising temperature, oft en resulting in a longer growing season. However, soil resources will oft en constrain temperature effects. In general, it is expected that increases in [CO2] and precipitation will enhance rangeland net primary production (NPP) whereas increased air temperatures will either increase or decrease NPP. Much of the uncertainty in predicting how pastureland and rangeland species will respond to climate change is due to uncertainty in future projections of precipitation, both globally and regionally. This review reveals the need for comprehensive studies of climate change impacts on pastureland and rangeland ecosystems that include an assessment of the mediating effects of grazing regimes and mutualistic relationships (e.g., plant roots-nematodes; N-fixing organisms) as well as changes in water, carbon, and nutrient cycling. © 2011 by the American Society of Agronomy.","author":[{"dropping-particle":"","family":"Izaurralde","given":"R. C.","non-dropping-particle":"","parse-names":false,"suffix":""},{"dropping-particle":"","family":"Thomson","given":"A. M.","non-dropping-particle":"","parse-names":false,"suffix":""},{"dropping-particle":"","family":"Morgan","given":"J. A.","non-dropping-particle":"","parse-names":false,"suffix":""},{"dropping-particle":"","family":"Fay","given":"P. A.","non-dropping-particle":"","parse-names":false,"suffix":""},{"dropping-particle":"","family":"Polley","given":"H. W.","non-dropping-particle":"","parse-names":false,"suffix":""},{"dropping-particle":"","family":"Hatfield","given":"J. L.","non-dropping-particle":"","parse-names":false,"suffix":""}],"container-title":"Agronomy Journal","id":"ITEM-1","issue":"2","issued":{"date-parts":[["2011"]]},"page":"371-381","title":"Climate impacts on agriculture: Implications for forage and rangeland production","type":"article-journal","volume":"103"},"uris":["http://www.mendeley.com/documents/?uuid=549ba237-45d6-4859-85fe-37217b7ce18f"]}],"mendeley":{"formattedCitation":"(Izaurralde et al., 2011)","plainTextFormattedCitation":"(Izaurralde et al., 2011)","previouslyFormattedCitation":"(Izaurralde et al., 2011)"},"properties":{"noteIndex":0},"schema":"https://github.com/citation-style-language/schema/raw/master/csl-citation.json"}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(Izaurralde et al., 2011)</w:t>
      </w:r>
      <w:r w:rsidRPr="00C1362F">
        <w:rPr>
          <w:rFonts w:eastAsia="SimSun"/>
          <w:bCs/>
          <w:sz w:val="24"/>
          <w:szCs w:val="24"/>
        </w:rPr>
        <w:fldChar w:fldCharType="end"/>
      </w:r>
      <w:r w:rsidRPr="00C1362F">
        <w:rPr>
          <w:rFonts w:eastAsia="SimSun"/>
          <w:bCs/>
          <w:sz w:val="24"/>
          <w:szCs w:val="24"/>
        </w:rPr>
        <w:t xml:space="preserve">. In addition, vegetation composition (e.g., C3 versus C4) and ecoregion can often influence the magnitude and direction of climate effects on rangeland productivity and C dynamics </w:t>
      </w:r>
      <w:r w:rsidRPr="00C1362F">
        <w:rPr>
          <w:rFonts w:eastAsia="SimSun"/>
          <w:bCs/>
          <w:sz w:val="24"/>
          <w:szCs w:val="24"/>
        </w:rPr>
        <w:fldChar w:fldCharType="begin" w:fldLock="1"/>
      </w:r>
      <w:r w:rsidRPr="00C1362F">
        <w:rPr>
          <w:rFonts w:eastAsia="SimSun"/>
          <w:bCs/>
          <w:sz w:val="24"/>
          <w:szCs w:val="24"/>
        </w:rPr>
        <w:instrText>ADDIN CSL_CITATION {"citationItems":[{"id":"ITEM-1","itemData":{"DOI":"10.1088/1748-9326/ac027a","ISSN":"17489326","abstract":"The rising temperature, altering precipitation, and increasing extreme events under climate warming affect the stability and sustainability of grassland ecosystems. The dynamics of above-ground biomass (AGB), below-ground biomass (BGB), and biomass partitioning (BGB:AGB ratio) of grasslands are of fundamental importance to understand their feedback to climate change. In this study, we used grassland productivity data extracted from the Oak Ridge National Laboratory Distributed Active Archive Center, Tennessee, USA, in which the AGB was collected within a 1.0 m × 0.25 m quadrat and the BGB was sampled within the center of the quadrat. Using multiple pairwise tests and Pearson's correlation analysis, we assessed the variations of grassland productivity and examined the response of single-harvest and annual biomass partitioning of C3- and C4-dominated grasslands to the growing-season and annual climatic variability and climate extremes in seven sites belonging to four ecoregions (i.e. cold steppe, humid temperate, humid savanna, and savanna). The results show that the annual and single-harvest BGB:AGB ratio varied significantly across the plant types and ecoregions. Overall, the C3-dominated grasslands exhibited a higher BGB:AGB ratio than that of C4-dominated grasslands. Growing-season temperatures (GSTs) were found to be the key determinants in explaining the single-harvest BGB:AGB ratio rather than growing-season precipitation. For instance, the single-harvest BGB:AGB ratio of C4-dominated grasslands increased, while that of C3-dominated grasslands decreased with elevated GSTs. The growing-season extreme dry climates significantly increased the single-harvest BGB:AGB ratio of C4 plants by a large reduction of AGB, potentially affecting the ecosystem functioning and stability. The C3-dominated grasslands in the cold steppe ecoregion are at great threat of drought-induced stress, as we observed that growing-season extreme dry climates reduced, albeit insignificantly, both the single-harvest AGB and BGB. This study provides key insights into factors influencing the biomass partitioning of C3- and C4-dominated grasslands and has important implications for assessing the grassland functioning and stability under increasing climate extremes.","author":[{"dropping-particle":"","family":"Hossain","given":"Md Lokman","non-dropping-particle":"","parse-names":false,"suffix":""},{"dropping-particle":"","family":"Li","given":"Jianfeng","non-dropping-particle":"","parse-names":false,"suffix":""}],"container-title":"Environmental Research Letters","id":"ITEM-1","issue":"7","issued":{"date-parts":[["2021"]]},"page":"e074016","title":"Biomass partitioning of C3- And C4-dominated grasslands in response to climatic variability and climate extremes","type":"article-journal","volume":"16"},"uris":["http://www.mendeley.com/documents/?uuid=e791dc72-ddca-43d3-970b-defe665b9ef6"]},{"id":"ITEM-2","itemData":{"author":[{"dropping-particle":"","family":"Fuhlendorf","given":"Samuel D.","non-dropping-particle":"","parse-names":false,"suffix":""},{"dropping-particle":"","family":"Briske","given":"David D.","non-dropping-particle":"","parse-names":false,"suffix":""},{"dropping-particle":"","family":"Smeins","given":"Fred E.","non-dropping-particle":"","parse-names":false,"suffix":""}],"container-title":"Applied Vegetation Science","id":"ITEM-2","issue":"2","issued":{"date-parts":[["2000"]]},"page":"177-188","title":"Herbaceous vegetation change in variable rangeland environments: The relative contribution of grazing and climatic variability","type":"article-journal","volume":"4"},"uris":["http://www.mendeley.com/documents/?uuid=b0dd6bdd-58d5-4484-93f8-a18826879a43"]}],"mendeley":{"formattedCitation":"(Fuhlendorf et al., 2000; Hossain &amp; Li, 2021)","plainTextFormattedCitation":"(Fuhlendorf et al., 2000; Hossain &amp; Li, 2021)","previouslyFormattedCitation":"(Fuhlendorf et al., 2000; Hossain &amp; Li, 2021)"},"properties":{"noteIndex":0},"schema":"https://github.com/citation-style-language/schema/raw/master/csl-citation.json"}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(Fuhlendorf et al., 2000; Hossain &amp; Li, 2021)</w:t>
      </w:r>
      <w:r w:rsidRPr="00C1362F">
        <w:rPr>
          <w:rFonts w:eastAsia="SimSun"/>
          <w:bCs/>
          <w:sz w:val="24"/>
          <w:szCs w:val="24"/>
        </w:rPr>
        <w:fldChar w:fldCharType="end"/>
      </w:r>
      <w:r w:rsidRPr="00C1362F">
        <w:rPr>
          <w:rFonts w:eastAsia="SimSun"/>
          <w:bCs/>
          <w:sz w:val="24"/>
          <w:szCs w:val="24"/>
        </w:rPr>
        <w:t xml:space="preserve">.   </w:t>
      </w:r>
    </w:p>
    <w:p w14:paraId="643B8DBD" w14:textId="77777777" w:rsidR="00E77D36" w:rsidRDefault="00E77D36" w:rsidP="008A5615">
      <w:pPr>
        <w:spacing w:before="120"/>
        <w:ind w:firstLine="720"/>
        <w:jc w:val="both"/>
        <w:rPr>
          <w:rFonts w:eastAsia="SimSun"/>
          <w:bCs/>
          <w:sz w:val="24"/>
          <w:szCs w:val="24"/>
        </w:rPr>
      </w:pPr>
      <w:r w:rsidRPr="00C1362F">
        <w:rPr>
          <w:rFonts w:eastAsia="SimSun"/>
          <w:bCs/>
          <w:sz w:val="24"/>
          <w:szCs w:val="24"/>
        </w:rPr>
        <w:t xml:space="preserve">Conservation practices such as prescribed grazing management, grassland restoration, removal of invasive species, and upgrades of </w:t>
      </w:r>
      <w:r>
        <w:rPr>
          <w:rFonts w:eastAsia="SimSun"/>
          <w:bCs/>
          <w:sz w:val="24"/>
          <w:szCs w:val="24"/>
        </w:rPr>
        <w:t>rangeland</w:t>
      </w:r>
      <w:r w:rsidRPr="00C1362F">
        <w:rPr>
          <w:rFonts w:eastAsia="SimSun"/>
          <w:bCs/>
          <w:sz w:val="24"/>
          <w:szCs w:val="24"/>
        </w:rPr>
        <w:t xml:space="preserve"> infrastructure can enhance rangeland greenness through the promotion of vegetation growth, increased biodiversity and resilience, reduced risks of wildfires, and improved water supply </w:t>
      </w:r>
      <w:r w:rsidRPr="00C1362F">
        <w:rPr>
          <w:rFonts w:eastAsia="SimSun"/>
          <w:bCs/>
          <w:sz w:val="24"/>
          <w:szCs w:val="24"/>
        </w:rPr>
        <w:fldChar w:fldCharType="begin" w:fldLock="1"/>
      </w:r>
      <w:r w:rsidRPr="00C1362F">
        <w:rPr>
          <w:rFonts w:eastAsia="SimSun"/>
          <w:bCs/>
          <w:sz w:val="24"/>
          <w:szCs w:val="24"/>
        </w:rPr>
        <w:instrText>ADDIN CSL_CITATION {"citationItems":[{"id":"ITEM-1","itemData":{"DOI":"10.15232/S1080-7446(15)30112-1","ISSN":"1525318X","abstract":"Wildfire is a major concern in the Intermountain West. Fuels management can lower the potential for negative wildfire effects. Cheatgrass (Bromus tectorum L.), a nonnative annual grass, invasion has resulted in a buildup of highly flammable fine fuels that promote frequent wildfire. Removal of cheatgrass standing crop through targeted, prescriptive grazing should provide a reduction in fire intensity and possibly frequency on a local basis. Spring cattle-grazing prescriptions have provided critical reductions in cheatgrass standing crop and seed production. However, annual fluctuations in timing of readiness and standing crop production pose planning difficulties for both producers and land managers. With fall grazing, the uncertainties are no longer planning obstacles. We examined the effects of pasture-scale fall grazing of cheatgrass by cattle on standing crop (fuel reduction), the perennial vegetation community, and cattle performance. Fall grazing removed significant amounts of cheatgrass standing crop during 2006 to 2009: 79, 80, 79, and 58%, respectively. Cumulatively, 675 kg/ha were removed from the fuel base, significantly reducing carryover fuels. With protein supplementation, cattle increased BCS and gained BW in all 3 yr of the assessment (0.17, 0.35, and 0.29 kg/d in 2007 to 2009, respectively). Cheatgrass seed bank decreased by 6-fold in the grazed treatment and a little more than 2-fold in the ungrazed area 2007 to 2009. Perennial plants increased standing crop production at the expense of cheatgrass production. Fall grazing of cheatgrass can remove significant amounts of fine fuel with beneficial effects to grazing animals and the perennial plant community.","author":[{"dropping-particle":"","family":"Schmelzer","given":"L.","non-dropping-particle":"","parse-names":false,"suffix":""},{"dropping-particle":"","family":"Perryman","given":"B.","non-dropping-particle":"","parse-names":false,"suffix":""},{"dropping-particle":"","family":"Bruce","given":"B.","non-dropping-particle":"","parse-names":false,"suffix":""},{"dropping-particle":"","family":"Schultz","given":"B.","non-dropping-particle":"","parse-names":false,"suffix":""},{"dropping-particle":"","family":"McAdoo","given":"K.","non-dropping-particle":"","parse-names":false,"suffix":""},{"dropping-particle":"","family":"McCuin","given":"G.","non-dropping-particle":"","parse-names":false,"suffix":""},{"dropping-particle":"","family":"Swanson","given":"S.","non-dropping-particle":"","parse-names":false,"suffix":""},{"dropping-particle":"","family":"Wilker","given":"J.","non-dropping-particle":"","parse-names":false,"suffix":""},{"dropping-particle":"","family":"Conley","given":"K.","non-dropping-particle":"","parse-names":false,"suffix":""}],"container-title":"Professional Animal Scientist","id":"ITEM-1","issue":"2","issued":{"date-parts":[["2014"]]},"page":"270-278","title":"CASE STUDY: Reducing cheatgrass (Bromus tectorum L.) fuel loads using fall cattle grazing","type":"article-journal","volume":"30"},"uris":["http://www.mendeley.com/documents/?uuid=9f8ca08d-87b2-4a75-8c0b-745960081c51"]},{"id":"ITEM-2","itemData":{"DOI":"10.1071/RJ20098","ISSN":"10369872","abstract":"A key challenge in reducing sediment moving from grazing lands into the Great Barrier Reef in Australia is to encourage beef cattle producers to improve management practices. Excessive grazing pressures cause land degradation, leading to both increased sediment runoff and lower future profits. Although higher grazing rates may be possible (and profitable) in better seasons, slow rates of adjustment to poorer seasons can lead to overgrazing and negative impacts on land condition. For policymakers the challenge is to find mechanisms that encourage or signal producers to be more precise in their management and avoid overstocking. Some of the most common options include extension programs, grant programs that use financial incentives, and regulation. In this paper we outline a conceptual framework that shows why extension may be a more powerful driver of management change than incentive programs, and then test this through an evaluation of a case study program conducted with beef cattle producers in catchments of the Great Barrier Reef, Australia. The pathway involving landholders to implement management change was through improved efficiency and productivity, as these are the issues that drive ongoing participation in broader environmental programs. The results present multiple lines of evidence to infer positive outcomes of an extension program in terms of changed management practices, which may be expected to generate improved productivity and better water quality outcomes. These can be grouped into three key areas. First, outcomes show positive improvement relative to the Grazing Water Quality Risk framework for the Great Barrier Reef catchments, which is designed to assess the links between land management and water quality. This indicates that resource condition is likely to improve and sediment emissions should be reduced over time. A second outcome is increased landholder engagement and improved understanding of their business and engagement in future programs, which should underpin ongoing adoption. A third outcome is improved management of risk and developing the skills to do this through data collection and monitoring, which should improve management responses in drought years.","author":[{"dropping-particle":"","family":"Rolfe","given":"John","non-dropping-particle":"","parse-names":false,"suffix":""},{"dropping-particle":"","family":"Star","given":"Megan","non-dropping-particle":"","parse-names":false,"suffix":""},{"dropping-particle":"","family":"Curcio","given":"Adam","non-dropping-particle":"","parse-names":false,"suffix":""}],"container-title":"Rangeland Journal","id":"ITEM-2","issue":"6","issued":{"date-parts":[["2021"]]},"page":"447-459","title":"Can extension programs improve grazing management in rangelands: A case study in Australia's Great Barrier Reef catchments","type":"article-journal","volume":"42"},"uris":["http://www.mendeley.com/documents/?uuid=bd6a3dfd-0852-40ba-aa62-5dc8ff856ac6"]},{"id":"ITEM-3","itemData":{"DOI":"10.1111/rec.12869","ISSN":"1526100X","abstract":"Restoration of riparian and wet meadow ecosystems in semiarid rangelands of the western United States is a high priority given their ecological and hydrological importance in the region. However, traditional restoration approaches are often intensive and costly, limiting the extent over which they can be applied. Practitioners are increasingly trying new restoration techniques that are more cost-effective, less intensive, and can more practically scale up to the scope of degradation. Unfortunately, practitioners typically lack resources to undertake outcome-based evaluations necessary to judge the efficacy of these techniques. In this study, we use freely available, satellite remote sensing to explore changes in vegetation productivity (normalized difference vegetation index) of three distinct, low-tech, riparian and wet meadow restoration projects. Case studies are presented that range in geographic location (Colorado, Oregon, and Nevada), restoration practice (Zeedyk structures, beaver dam analogs, and grazing management), and time since implementation. Restoration practices resulted in increased vegetation productivity of up to 25% and increased annual persistence of productive vegetation. Improvements in productivity with time since restoration suggest that elevated resilience may further enhance wildlife habitat and increase forage production. Long-term, documented outcomes of conservation are rare; we hope our findings empower practitioners to further monitor and explore the use of low-tech methods for restoration of ecohydrologic processes at meaningful spatial scales.","author":[{"dropping-particle":"","family":"Silverman","given":"Nicholas L.","non-dropping-particle":"","parse-names":false,"suffix":""},{"dropping-particle":"","family":"Allred","given":"Brady W.","non-dropping-particle":"","parse-names":false,"suffix":""},{"dropping-particle":"","family":"Donnelly","given":"John Patrick","non-dropping-particle":"","parse-names":false,"suffix":""},{"dropping-particle":"","family":"Chapman","given":"Teresa B.","non-dropping-particle":"","parse-names":false,"suffix":""},{"dropping-particle":"","family":"Maestas","given":"Jeremy D.","non-dropping-particle":"","parse-names":false,"suffix":""},{"dropping-particle":"","family":"Wheaton","given":"Joseph M.","non-dropping-particle":"","parse-names":false,"suffix":""},{"dropping-particle":"","family":"White","given":"Jeff","non-dropping-particle":"","parse-names":false,"suffix":""},{"dropping-particle":"","family":"Naugle","given":"David E.","non-dropping-particle":"","parse-names":false,"suffix":""}],"container-title":"Restoration Ecology","id":"ITEM-3","issue":"2","issued":{"date-parts":[["2019"]]},"page":"269-278","title":"Low-tech riparian and wet meadow restoration increases vegetation productivity and resilience across semiarid rangelands","type":"article-journal","volume":"27"},"uris":["http://www.mendeley.com/documents/?uuid=67929aba-71f1-4010-a831-1bbb2f49f074"]}],"mendeley":{"formattedCitation":"(Rolfe et al., 2021; Schmelzer et al., 2014; Silverman et al., 2019)","plainTextFormattedCitation":"(Rolfe et al., 2021; Schmelzer et al., 2014; Silverman et al., 2019)","previouslyFormattedCitation":"(Rolfe et al., 2021; Schmelzer et al., 2014; Silverman et al., 2019)"},"properties":{"noteIndex":0},"schema":"https://github.com/citation-style-language/schema/raw/master/csl-citation.json"}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(Rolfe et al., 2021; Schmelzer et al., 2014; Silverman et al., 2019)</w:t>
      </w:r>
      <w:r w:rsidRPr="00C1362F">
        <w:rPr>
          <w:rFonts w:eastAsia="SimSun"/>
          <w:bCs/>
          <w:sz w:val="24"/>
          <w:szCs w:val="24"/>
        </w:rPr>
        <w:fldChar w:fldCharType="end"/>
      </w:r>
      <w:r w:rsidRPr="00C1362F">
        <w:rPr>
          <w:rFonts w:eastAsia="SimSun"/>
          <w:bCs/>
          <w:sz w:val="24"/>
          <w:szCs w:val="24"/>
        </w:rPr>
        <w:t xml:space="preserve">, while practices that lead to rangeland degradation can cause reduced rangeland greenness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{"citationItems":[{"id":"ITEM-1","itemData":{"DOI":"10.1016/j.rse.2010.03.011","ISSN":"00344257","abstract":"This study aims to map and discriminate rangeland degradation from the effects of precipitation variability and thereby identify the driving forces of degradation in the grazing areas of Ghiling in Upper Mustang, Nepal. Landsat MSS, TM, ETM, and SPOT images covering the years 1976-2008 were analyzed. 8. km resolution NOAA NDVI from 1981to 2006 were used to identify the long term interrelationship between vegetation greenness and precipitation variability. The use of time series residual of the NDVI/precipitation linear regression to normalize the precipitation effect on vegetation productivity and identify the long term degradation was extended at the local scale. A weighted grazing pressure surface model was developed combining information from satellite images, topography, forage availability and detailed field work data on points of livestock concentration, herders' ranking of forage quality and grazing pattern in each pasture unit. The grazing pressure of a given site was defined as the product of annual net stocking density and the inverse of the total friction of livestock movement. While annual precipitation was found as the dominant factor for the interannual vegetation variability, degradation in Upper Mustang was the result of grazing induced change and some localized natural processes. © 2010 Elsevier Inc.","author":[{"dropping-particle":"","family":"Paudel","given":"Keshav Prasad","non-dropping-particle":"","parse-names":false,"suffix":""},{"dropping-particle":"","family":"Andersen","given":"Peter","non-dropping-particle":"","parse-names":false,"suffix":""}],"container-title":"Remote Sensing of Environment","id":"ITEM-1","issue":"8","issued":{"date-parts":[["2010"]]},"page":"1845-1855","title":"Assessing rangeland degradation using multi temporal satellite images and grazing pressure surface model in Upper Mustang, Trans Himalaya, Nepal","type":"article-journal","volume":"114"},"uris":["http://www.mendeley.com/documents/?uuid=f294ad7c-2391-4691-8bde-c7d9c8e5867a"]},{"id":"ITEM-2","itemData":{"DOI":"10.2989/10220110509485862","ISSN":"10220119","abstract":"Most of South Africa's land surface is arid or semi-arid rangeland. Three management systems exploit these areas: commercial livestock ranching, communal livestock ranching and game ranching. The ways in which these management systems affect rangeland ecology is contentious due to inherent differences in management characteristics and the controversy surrounding driving forces in rangeland vegetation dynamics. We used 500m-long grazing gradients around water-points in order to evaluate the effects of grazing intensity on plant species composition and diversity, and to compare levels of degradation among management systems. We compared species composition, bare soil frequency, shrub and tree density among management systems. We conclude that grazing has significant negative effects in these rangelands, although differences in degree of degradation could have been confounded by factors other than grazing. Copyright © NISC Pty Ltd.","author":[{"dropping-particle":"","family":"Smet","given":"M.","non-dropping-particle":"","parse-names":false,"suffix":""},{"dropping-particle":"","family":"Ward","given":"D.","non-dropping-particle":"","parse-names":false,"suffix":""}],"container-title":"African Journal of Range and Forage Science","id":"ITEM-2","issue":"1","issued":{"date-parts":[["2005"]]},"page":"59-71","title":"A comparison of the effects of different rangeland management systems on plant species composition, diversity and vegetation structure in a semi-arid savanna","type":"article-journal","volume":"22"},"uris":["http://www.mendeley.com/documents/?uuid=a14b8c43-a848-4070-972f-9e26681ec079"]}],"mendeley":{"formattedCitation":"(Paudel &amp; Andersen, 2010; Smet &amp; Ward, 2005)","plainTextFormattedCitation":"(Paudel &amp; Andersen, 2010; Smet &amp; Ward, 2005)","previouslyFormattedCitation":"(Paudel &amp; Andersen, 2010; Smet &amp; Ward, 2005)"},"properties":{"noteIndex":0},"schema":"https://github.com/citation-style-language/schema/raw/master/csl-citation.json"}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(Paudel &amp; Andersen, 2010; Smet &amp; Ward, 2005)</w:t>
      </w:r>
      <w:r w:rsidRPr="00C1362F">
        <w:rPr>
          <w:rFonts w:eastAsia="SimSun"/>
          <w:bCs/>
          <w:sz w:val="24"/>
          <w:szCs w:val="24"/>
        </w:rPr>
        <w:fldChar w:fldCharType="end"/>
      </w:r>
      <w:r w:rsidRPr="00C1362F">
        <w:rPr>
          <w:rFonts w:eastAsia="SimSun"/>
          <w:bCs/>
          <w:sz w:val="24"/>
          <w:szCs w:val="24"/>
        </w:rPr>
        <w:t xml:space="preserve">. Unfortunately, distinguishing management effects from climate variability on rangeland greenness can be challenging </w:t>
      </w:r>
      <w:r w:rsidRPr="00C1362F">
        <w:rPr>
          <w:rFonts w:eastAsia="SimSun"/>
          <w:bCs/>
          <w:sz w:val="24"/>
          <w:szCs w:val="24"/>
        </w:rPr>
        <w:fldChar w:fldCharType="begin" w:fldLock="1"/>
      </w:r>
      <w:r w:rsidRPr="00C1362F">
        <w:rPr>
          <w:rFonts w:eastAsia="SimSun"/>
          <w:bCs/>
          <w:sz w:val="24"/>
          <w:szCs w:val="24"/>
        </w:rPr>
        <w:instrText>ADDIN CSL_CITATION {"citationItems":[{"id":"ITEM-1","itemData":{"DOI":"10.1002/ece3.4099","ISSN":"20457758","abstract":"Quantifying the impact of climate change and human activities on grassland dynamics is an essential step for developing sustainable grassland ecosystem management strategies. However, the direction and magnitude of climate change and human activities in driving alpine grassland dynamic over the Tibetan Plateau remain under debates. Here, we systematically reviewed the relevant studies on the methods, main conclusions, and causes for the inconsistency in distinguishing the respective contribution of climatic and anthropogenic forces to alpine grassland dynamic. Both manipulative experiments and traditional statistical analysis show that climate warming increase biomass in alpine meadows and decrease in alpine steppes, while both alpine steppes and meadows benefit from an increase in precipitation or soil moisture. Overgrazing is a major factor for the degradation of alpine grassland in local areas with high level of human activity intensity. However, across the entire Tibetan Plateau and its subregions, four views characterize the remaining controversies: alpine grassland changes are primarily due to (1) climatic force, (2) nonclimatic force, (3) combination of anthropogenic and climatic force, or (4) alternation of anthropogenic and climatic force. Furthermore, these views also show spatial inconsistencies. Differences on the source and quality of remote sensing products, the structure and parameter of models, and overlooking the spatiotemporal heterogeneity of human activity intensity contribute to current disagreements. In this review, we highlight the necessity for taking the spatiotemporal heterogeneity of human activity intensity into account in the models of attribution assessment, and the importance for accurate validation of climatic and anthropogenic contribution to alpine grassland variation at multiple scales for future studies.","author":[{"dropping-particle":"","family":"Li","given":"Lanhui","non-dropping-particle":"","parse-names":false,"suffix":""},{"dropping-particle":"","family":"Zhang","given":"Yili","non-dropping-particle":"","parse-names":false,"suffix":""},{"dropping-particle":"","family":"Liu","given":"Linshan","non-dropping-particle":"","parse-names":false,"suffix":""},{"dropping-particle":"","family":"Wu","given":"Jianshuang","non-dropping-particle":"","parse-names":false,"suffix":""},{"dropping-particle":"","family":"Li","given":"Shicheng","non-dropping-particle":"","parse-names":false,"suffix":""},{"dropping-particle":"","family":"Zhang","given":"Haiyan","non-dropping-particle":"","parse-names":false,"suffix":""},{"dropping-particle":"","family":"Zhang","given":"Binghua","non-dropping-particle":"","parse-names":false,"suffix":""},{"dropping-particle":"","family":"Ding","given":"Mingjun","non-dropping-particle":"","parse-names":false,"suffix":""},{"dropping-particle":"","family":"Wang","given":"Zhaofeng","non-dropping-particle":"","parse-names":false,"suffix":""},{"dropping-particle":"","family":"Paudel","given":"Basanta","non-dropping-particle":"","parse-names":false,"suffix":""}],"container-title":"Ecology and Evolution","id":"ITEM-1","issue":"11","issued":{"date-parts":[["2018"]]},"page":"5949-5963","title":"Current challenges in distinguishing climatic and anthropogenic contributions to alpine grassland variation on the Tibetan Plateau","type":"article-journal","volume":"8"},"uris":["http://www.mendeley.com/documents/?uuid=2d96b743-b6e2-4f20-843a-85ec6981ce7d"]}],"mendeley":{"formattedCitation":"(L. Li et al., 2018)","manualFormatting":"(Li et al., 2018)","plainTextFormattedCitation":"(L. Li et al., 2018)","previouslyFormattedCitation":"(L. Li et al., 2018)"},"properties":{"noteIndex":0},"schema":"https://github.com/citation-style-language/schema/raw/master/csl-citation.json"}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(Li et al., 2018)</w:t>
      </w:r>
      <w:r w:rsidRPr="00C1362F">
        <w:rPr>
          <w:rFonts w:eastAsia="SimSun"/>
          <w:bCs/>
          <w:sz w:val="24"/>
          <w:szCs w:val="24"/>
        </w:rPr>
        <w:fldChar w:fldCharType="end"/>
      </w:r>
      <w:r w:rsidRPr="00C1362F">
        <w:rPr>
          <w:rFonts w:eastAsia="SimSun"/>
          <w:bCs/>
          <w:sz w:val="24"/>
          <w:szCs w:val="24"/>
        </w:rPr>
        <w:t xml:space="preserve">, especially when there is a lack of detailed temporal information of grazing management (i.e., timing, intensity, and duration) and vegetation composition from most of the sites. </w:t>
      </w:r>
      <w:r>
        <w:rPr>
          <w:rFonts w:eastAsia="SimSun"/>
          <w:bCs/>
          <w:sz w:val="24"/>
          <w:szCs w:val="24"/>
        </w:rPr>
        <w:t>R</w:t>
      </w:r>
      <w:r w:rsidRPr="0004573F">
        <w:rPr>
          <w:rFonts w:eastAsia="SimSun"/>
          <w:bCs/>
          <w:sz w:val="24"/>
          <w:szCs w:val="24"/>
        </w:rPr>
        <w:t>unning RCTM at a 30</w:t>
      </w:r>
      <w:r>
        <w:rPr>
          <w:rFonts w:eastAsia="SimSun"/>
          <w:bCs/>
          <w:sz w:val="24"/>
          <w:szCs w:val="24"/>
        </w:rPr>
        <w:t xml:space="preserve"> </w:t>
      </w:r>
      <w:r w:rsidRPr="0004573F">
        <w:rPr>
          <w:rFonts w:eastAsia="SimSun"/>
          <w:bCs/>
          <w:sz w:val="24"/>
          <w:szCs w:val="24"/>
        </w:rPr>
        <w:t xml:space="preserve">m spatial resolution would be useful to identify local areas of change in </w:t>
      </w:r>
      <w:r>
        <w:rPr>
          <w:rFonts w:eastAsia="SimSun"/>
          <w:bCs/>
          <w:sz w:val="24"/>
          <w:szCs w:val="24"/>
        </w:rPr>
        <w:t>C dynamics, but i</w:t>
      </w:r>
      <w:r w:rsidRPr="00C1362F">
        <w:rPr>
          <w:rFonts w:eastAsia="SimSun"/>
          <w:bCs/>
          <w:sz w:val="24"/>
          <w:szCs w:val="24"/>
        </w:rPr>
        <w:t xml:space="preserve">deally, assessing long-term changes in rangeland productivity and SOC from reference sites alongside sites undergoing practice changes can help identify management influence on rangeland C dynamics more effectively. </w:t>
      </w:r>
    </w:p>
    <w:p w14:paraId="5BB9766E" w14:textId="77777777" w:rsidR="00E77D36" w:rsidRPr="00C1362F" w:rsidRDefault="00E77D36" w:rsidP="008A5615">
      <w:pPr>
        <w:spacing w:before="120"/>
        <w:ind w:firstLine="720"/>
        <w:jc w:val="both"/>
        <w:rPr>
          <w:rFonts w:eastAsia="SimSun"/>
          <w:bCs/>
          <w:sz w:val="24"/>
          <w:szCs w:val="24"/>
        </w:rPr>
      </w:pPr>
      <w:r w:rsidRPr="00C1362F">
        <w:rPr>
          <w:rFonts w:eastAsia="SimSun"/>
          <w:bCs/>
          <w:sz w:val="24"/>
          <w:szCs w:val="24"/>
        </w:rPr>
        <w:t>The simulation results showing a correlation between GPP and SOC stocks (Table 2) align with the expectation that productive rangeland can supply more C inputs to the soil. Elevated SOC levels were also explained by increased soil moisture at both depths, supporting the notion of higher rangeland productivity in response to higher moisture conditions. The negative correlation (R = -0.44, P &lt; 0.05) between SOC and soil temperature likely reflects increased SOM decomposition tied to enhanced microbial activity</w:t>
      </w:r>
      <w:r>
        <w:rPr>
          <w:rFonts w:eastAsia="SimSun"/>
          <w:bCs/>
          <w:sz w:val="24"/>
          <w:szCs w:val="24"/>
        </w:rPr>
        <w:t xml:space="preserve"> in response to an increase in soil temperature</w:t>
      </w:r>
      <w:r w:rsidRPr="00C1362F">
        <w:rPr>
          <w:rFonts w:eastAsia="SimSun"/>
          <w:bCs/>
          <w:sz w:val="24"/>
          <w:szCs w:val="24"/>
        </w:rPr>
        <w:t xml:space="preserve"> </w:t>
      </w:r>
      <w:r w:rsidRPr="00C1362F">
        <w:rPr>
          <w:rFonts w:eastAsia="SimSun"/>
          <w:bCs/>
          <w:sz w:val="24"/>
          <w:szCs w:val="24"/>
        </w:rPr>
        <w:fldChar w:fldCharType="begin" w:fldLock="1"/>
      </w:r>
      <w:r w:rsidRPr="00C1362F">
        <w:rPr>
          <w:rFonts w:eastAsia="SimSun"/>
          <w:bCs/>
          <w:sz w:val="24"/>
          <w:szCs w:val="24"/>
        </w:rPr>
        <w:instrText>ADDIN CSL_CITATION {"citationItems":[{"id":"ITEM-1","itemData":{"DOI":"10.1002/clen.201300727","ISSN":"18630669","abstract":"The soils of the world store significantly more carbon than present in the atmosphere. However, there is still no consensus regarding the effects of climate change, i.e. increase in temperature on global soil carbon stocks. An incubation experiment was conducted under a temperature range (5-45°C) and moisture conditions, i.e. U1-U5 (20-100% water-holding capacity) with the objective to investigate temperature sensitivity of labile and recalcitrant organic carbon pools, total microbial activity, and soil extracellular enzymes, i.e. phenol oxidase and catalase activity in an Ultisol soil. The maximum increase in the labile organic carbon pool, i.e. water soluble organic carbon (3.52-fold), microbial biomass carbon (2.31-fold), readily mineralizable carbon (6.16-fold), permanganate oxidized organic carbon (2.81-fold), and reducing sugar carbon (3.97-fold) was observed at 35°C, whereas the effect at other temperatures was in the order 25&gt;45&gt;15&gt;5°C. The total organic carbon (TOC) tended to decrease with the increased temperature (from 5-35°C), therefore, maximum TOC (14.7gkg-1) was observed at 5°C, and minimum (1.76gkg-1) at 45°C. Conversely, the highest increase (6.48-fold) in the recalcitrant organic carbon pool was noticed at 45°C, and the impact of other temperatures was in the order 35&gt;25&gt;15&gt;5°C. The maximum increase in the total microbial activity (13.68-fold) and soil enzymes, phenol oxidase and catalase (3.94 and 3.98-fold, respectively) activity was observed at 35°C, while the influence of other temperature ranges was in the order 25&gt;45&gt;15&gt;5°C. The effect of moisture regimes on the temperature sensitivity of organic carbon pools, total microbial and enzymatic activity was in the order U3&gt;U4&gt;U2&gt;U1&gt;U5. No consensus exists regarding the effects of climate change due to global warming, i.e. increase in temperature on global soil carbon stocks, particularly on recalcitrant organic carbon (ROC) pool. An incubation experiment was conducted under different temperatures and moisture conditions with the objective to investigate temperature sensitivity of labile and ROC pools. It could be shown that moisture plays a vital role in the temperature sensitivity of both labile and ROC pools decomposition, and a change in the moisture (dry to submergence) significantly influences their response to the increase in temperature.","author":[{"dropping-particle":"","family":"Hassan","given":"Waseem","non-dropping-particle":"","parse-names":false,"suffix":""},{"dropping-particle":"","family":"Bano","given":"Rizwana","non-dropping-particle":"","parse-names":false,"suffix":""},{"dropping-particle":"","family":"Khatak","given":"Bashir Ullah","non-dropping-particle":"","parse-names":false,"suffix":""},{"dropping-particle":"","family":"Hussain","given":"Imtiaz","non-dropping-particle":"","parse-names":false,"suffix":""},{"dropping-particle":"","family":"Yousaf","given":"Mohummad","non-dropping-particle":"","parse-names":false,"suffix":""},{"dropping-particle":"","family":"David","given":"Julie","non-dropping-particle":"","parse-names":false,"suffix":""}],"container-title":"Clean - Soil, Air, Water","id":"ITEM-1","issue":"3","issued":{"date-parts":[["2015"]]},"page":"391-398","title":"Temperature sensitivity and soil organic carbon pools decomposition under different moisture Regimes: EFFECT on total microbial and enzymatic activity","type":"article-journal","volume":"43"},"uris":["http://www.mendeley.com/documents/?uuid=3342df81-bc1b-476a-9ffd-d7a2f21d9fc3"]},{"id":"ITEM-2","itemData":{"author":[{"dropping-particle":"","family":"Lal","given":"Rattan","non-dropping-particle":"","parse-names":false,"suffix":""}],"container-title":"Geoderma","id":"ITEM-2","issue":"1-2","issued":{"date-parts":[["2004"]]},"page":"1-22","title":"Soil carbon sequestration to mitigate climate change","type":"article-journal","volume":"123"},"uris":["http://www.mendeley.com/documents/?uuid=1780a721-230c-41fb-b7ed-77780dded9a8"]}],"mendeley":{"formattedCitation":"(Hassan et al., 2015; Lal, 2004)","plainTextFormattedCitation":"(Hassan et al., 2015; Lal, 2004)","previouslyFormattedCitation":"(Hassan et al., 2015; Lal, 2004)"},"properties":{"noteIndex":0},"schema":"https://github.com/citation-style-language/schema/raw/master/csl-citation.json"}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(Hassan et al., 2015; Lal, 2004)</w:t>
      </w:r>
      <w:r w:rsidRPr="00C1362F">
        <w:rPr>
          <w:rFonts w:eastAsia="SimSun"/>
          <w:bCs/>
          <w:sz w:val="24"/>
          <w:szCs w:val="24"/>
        </w:rPr>
        <w:fldChar w:fldCharType="end"/>
      </w:r>
      <w:r w:rsidRPr="00C1362F">
        <w:rPr>
          <w:rFonts w:eastAsia="SimSun"/>
          <w:bCs/>
          <w:sz w:val="24"/>
          <w:szCs w:val="24"/>
        </w:rPr>
        <w:t xml:space="preserve">. </w:t>
      </w:r>
    </w:p>
    <w:p w14:paraId="750153F1" w14:textId="77777777" w:rsidR="00E77D36" w:rsidRPr="00C1362F" w:rsidRDefault="00E77D36" w:rsidP="008A5615">
      <w:pPr>
        <w:spacing w:before="120"/>
        <w:ind w:firstLine="720"/>
        <w:jc w:val="both"/>
        <w:rPr>
          <w:rFonts w:eastAsia="SimSun"/>
          <w:bCs/>
          <w:sz w:val="24"/>
          <w:szCs w:val="24"/>
        </w:rPr>
      </w:pPr>
      <w:r w:rsidRPr="00C1362F">
        <w:rPr>
          <w:rFonts w:eastAsia="SimSun"/>
          <w:bCs/>
          <w:sz w:val="24"/>
          <w:szCs w:val="24"/>
        </w:rPr>
        <w:t xml:space="preserve">Environmental drivers are crucial not only for SOC stocks but also for changes in stock levels. Our SMLR analysis of RCTM outputs demonstrated that the rate of surface SOC stock changes was </w:t>
      </w:r>
      <w:r>
        <w:rPr>
          <w:rFonts w:eastAsia="SimSun"/>
          <w:bCs/>
          <w:sz w:val="24"/>
          <w:szCs w:val="24"/>
        </w:rPr>
        <w:t>primarily</w:t>
      </w:r>
      <w:r w:rsidRPr="00C1362F">
        <w:rPr>
          <w:rFonts w:eastAsia="SimSun"/>
          <w:bCs/>
          <w:sz w:val="24"/>
          <w:szCs w:val="24"/>
        </w:rPr>
        <w:t xml:space="preserve"> controlled by site characteristics including slope, soil texture, air temperature, and VPD (Eq. 10). The empirical SMLR model (R</w:t>
      </w:r>
      <w:r w:rsidRPr="00C1362F">
        <w:rPr>
          <w:rFonts w:eastAsia="SimSun"/>
          <w:bCs/>
          <w:sz w:val="24"/>
          <w:szCs w:val="24"/>
          <w:vertAlign w:val="superscript"/>
        </w:rPr>
        <w:t>2</w:t>
      </w:r>
      <w:r w:rsidRPr="00C1362F">
        <w:rPr>
          <w:rFonts w:eastAsia="SimSun"/>
          <w:bCs/>
          <w:sz w:val="24"/>
          <w:szCs w:val="24"/>
        </w:rPr>
        <w:t xml:space="preserve"> = 0.58) developed on all retained Ameriflux and NEON sites suggested that rangeland SOC sequestration increased with clay content and air temperature but decreased with slope and VPD. </w:t>
      </w:r>
    </w:p>
    <w:p w14:paraId="4EFE39AA" w14:textId="77777777" w:rsidR="00E77D36" w:rsidRPr="008A5615" w:rsidRDefault="00E77D36" w:rsidP="008A5615">
      <w:pPr>
        <w:spacing w:before="120"/>
        <w:ind w:firstLine="720"/>
        <w:jc w:val="both"/>
        <w:rPr>
          <w:rFonts w:eastAsia="Arial"/>
          <w:sz w:val="24"/>
          <w:szCs w:val="24"/>
        </w:rPr>
      </w:pPr>
      <m:oMathPara>
        <m:oMathParaPr>
          <m:jc m:val="center"/>
        </m:oMathParaPr>
        <m:oMath>
          <m:r>
            <w:rPr>
              <w:rFonts w:ascii="Cambria Math" w:eastAsia="Arial" w:hAnsi="Cambria Math"/>
              <w:sz w:val="24"/>
              <w:szCs w:val="24"/>
            </w:rPr>
            <w:lastRenderedPageBreak/>
            <m:t>∆SOC</m:t>
          </m:r>
          <m:r>
            <m:rPr>
              <m:sty m:val="p"/>
            </m:rPr>
            <w:rPr>
              <w:rFonts w:ascii="Cambria Math" w:eastAsia="Arial" w:hAnsi="Cambria Math"/>
              <w:sz w:val="24"/>
              <w:szCs w:val="24"/>
            </w:rPr>
            <m:t>=818-35×slope+6×clay</m:t>
          </m:r>
          <m:d>
            <m:dPr>
              <m:ctrlPr>
                <w:rPr>
                  <w:rFonts w:ascii="Cambria Math" w:eastAsia="Arial" w:hAnsi="Cambria Math"/>
                  <w:iCs/>
                  <w:sz w:val="24"/>
                  <w:szCs w:val="24"/>
                </w:rPr>
              </m:ctrlPr>
            </m:dPr>
            <m:e>
              <m:r>
                <m:rPr>
                  <m:sty m:val="p"/>
                </m:rPr>
                <w:rPr>
                  <w:rFonts w:ascii="Cambria Math" w:eastAsia="Arial" w:hAnsi="Cambria Math"/>
                  <w:sz w:val="24"/>
                  <w:szCs w:val="24"/>
                </w:rPr>
                <m:t>%</m:t>
              </m:r>
            </m:e>
          </m:d>
          <m:r>
            <m:rPr>
              <m:sty m:val="p"/>
            </m:rPr>
            <w:rPr>
              <w:rFonts w:ascii="Cambria Math" w:eastAsia="Arial" w:hAnsi="Cambria Math"/>
              <w:sz w:val="24"/>
              <w:szCs w:val="24"/>
            </w:rPr>
            <m:t>+50×air temperature</m:t>
          </m:r>
          <m:d>
            <m:dPr>
              <m:ctrlPr>
                <w:rPr>
                  <w:rFonts w:ascii="Cambria Math" w:eastAsia="Arial" w:hAnsi="Cambria Math"/>
                  <w:iCs/>
                  <w:sz w:val="24"/>
                  <w:szCs w:val="24"/>
                </w:rPr>
              </m:ctrlPr>
            </m:dPr>
            <m:e>
              <m:r>
                <m:rPr>
                  <m:sty m:val="p"/>
                </m:rPr>
                <w:rPr>
                  <w:rFonts w:ascii="Cambria Math" w:eastAsia="Arial" w:hAnsi="Cambria Math"/>
                  <w:sz w:val="24"/>
                  <w:szCs w:val="24"/>
                </w:rPr>
                <m:t>℃</m:t>
              </m:r>
            </m:e>
          </m:d>
          <m:r>
            <m:rPr>
              <m:sty m:val="p"/>
            </m:rPr>
            <w:rPr>
              <w:rFonts w:ascii="Cambria Math" w:eastAsia="Arial" w:hAnsi="Cambria Math"/>
              <w:sz w:val="24"/>
              <w:szCs w:val="24"/>
            </w:rPr>
            <m:t>-114×VPD</m:t>
          </m:r>
          <m:d>
            <m:dPr>
              <m:ctrlPr>
                <w:rPr>
                  <w:rFonts w:ascii="Cambria Math" w:eastAsia="Arial" w:hAnsi="Cambria Math"/>
                  <w:iCs/>
                  <w:sz w:val="24"/>
                  <w:szCs w:val="24"/>
                </w:rPr>
              </m:ctrlPr>
            </m:dPr>
            <m:e>
              <m:r>
                <m:rPr>
                  <m:sty m:val="p"/>
                </m:rPr>
                <w:rPr>
                  <w:rFonts w:ascii="Cambria Math" w:eastAsia="Arial" w:hAnsi="Cambria Math"/>
                  <w:sz w:val="24"/>
                  <w:szCs w:val="24"/>
                </w:rPr>
                <m:t>hPa</m:t>
              </m:r>
            </m:e>
          </m:d>
          <m:r>
            <w:rPr>
              <w:rFonts w:ascii="Cambria Math" w:eastAsia="Arial" w:hAnsi="Cambria Math"/>
              <w:sz w:val="24"/>
              <w:szCs w:val="24"/>
            </w:rPr>
            <m:t xml:space="preserve">   </m:t>
          </m:r>
          <m:r>
            <m:rPr>
              <m:sty m:val="p"/>
            </m:rPr>
            <w:rPr>
              <w:rFonts w:ascii="Cambria Math" w:eastAsia="Arial" w:hAnsi="Cambria Math"/>
              <w:sz w:val="24"/>
              <w:szCs w:val="24"/>
            </w:rPr>
            <m:t xml:space="preserve"> (Eq. 10)</m:t>
          </m:r>
        </m:oMath>
      </m:oMathPara>
    </w:p>
    <w:p w14:paraId="09F70501" w14:textId="0BC5BF18" w:rsidR="00E77D36" w:rsidRPr="008D30D6" w:rsidRDefault="00E77D36" w:rsidP="008A5615">
      <w:pPr>
        <w:spacing w:before="120"/>
        <w:ind w:firstLine="720"/>
        <w:jc w:val="both"/>
        <w:rPr>
          <w:rFonts w:eastAsia="Arial"/>
          <w:sz w:val="24"/>
          <w:szCs w:val="24"/>
        </w:rPr>
      </w:pPr>
      <w:r w:rsidRPr="008D30D6">
        <w:rPr>
          <w:rFonts w:eastAsia="Arial"/>
          <w:sz w:val="24"/>
          <w:szCs w:val="24"/>
        </w:rPr>
        <w:t xml:space="preserve">Where </w:t>
      </w:r>
      <m:oMath>
        <m:r>
          <w:rPr>
            <w:rFonts w:ascii="Cambria Math" w:eastAsia="Arial" w:hAnsi="Cambria Math"/>
            <w:sz w:val="24"/>
            <w:szCs w:val="24"/>
          </w:rPr>
          <m:t>∆SOC</m:t>
        </m:r>
      </m:oMath>
      <w:r w:rsidRPr="008D30D6">
        <w:rPr>
          <w:rFonts w:eastAsia="Arial"/>
          <w:sz w:val="24"/>
          <w:szCs w:val="24"/>
        </w:rPr>
        <w:t xml:space="preserve"> </w:t>
      </w:r>
      <m:oMath>
        <m:r>
          <w:rPr>
            <w:rFonts w:ascii="Cambria Math" w:eastAsia="Arial" w:hAnsi="Cambria Math"/>
            <w:sz w:val="24"/>
            <w:szCs w:val="24"/>
          </w:rPr>
          <m:t xml:space="preserve">(g C </m:t>
        </m:r>
        <m:sSup>
          <m:sSupPr>
            <m:ctrlPr>
              <w:rPr>
                <w:rFonts w:ascii="Cambria Math" w:eastAsia="Arial" w:hAnsi="Cambria Math"/>
                <w:i/>
                <w:sz w:val="24"/>
                <w:szCs w:val="24"/>
              </w:rPr>
            </m:ctrlPr>
          </m:sSupPr>
          <m:e>
            <m:r>
              <w:rPr>
                <w:rFonts w:ascii="Cambria Math" w:eastAsia="Arial" w:hAnsi="Cambria Math"/>
                <w:sz w:val="24"/>
                <w:szCs w:val="24"/>
              </w:rPr>
              <m:t>m</m:t>
            </m:r>
          </m:e>
          <m:sup>
            <m:r>
              <w:rPr>
                <w:rFonts w:ascii="Cambria Math" w:eastAsia="Arial" w:hAnsi="Cambria Math"/>
                <w:sz w:val="24"/>
                <w:szCs w:val="24"/>
              </w:rPr>
              <m:t>-2</m:t>
            </m:r>
          </m:sup>
        </m:sSup>
        <m:r>
          <w:rPr>
            <w:rFonts w:ascii="Cambria Math" w:eastAsia="Arial" w:hAnsi="Cambria Math"/>
            <w:sz w:val="24"/>
            <w:szCs w:val="24"/>
          </w:rPr>
          <m:t>)</m:t>
        </m:r>
      </m:oMath>
      <w:r w:rsidRPr="008D30D6">
        <w:rPr>
          <w:rFonts w:eastAsia="Arial"/>
          <w:sz w:val="24"/>
          <w:szCs w:val="24"/>
        </w:rPr>
        <w:t xml:space="preserve"> denotes RCTM</w:t>
      </w:r>
      <w:r w:rsidR="008A5615">
        <w:rPr>
          <w:rFonts w:eastAsia="Arial"/>
          <w:sz w:val="24"/>
          <w:szCs w:val="24"/>
        </w:rPr>
        <w:t>-</w:t>
      </w:r>
      <w:r w:rsidRPr="008D30D6">
        <w:rPr>
          <w:rFonts w:eastAsia="Arial"/>
          <w:sz w:val="24"/>
          <w:szCs w:val="24"/>
        </w:rPr>
        <w:t xml:space="preserve">simulated </w:t>
      </w:r>
      <w:r w:rsidR="008A5615" w:rsidRPr="008D30D6">
        <w:rPr>
          <w:rFonts w:eastAsia="Arial"/>
          <w:sz w:val="24"/>
          <w:szCs w:val="24"/>
        </w:rPr>
        <w:t>change</w:t>
      </w:r>
      <w:r w:rsidR="008A5615">
        <w:rPr>
          <w:rFonts w:eastAsia="Arial"/>
          <w:sz w:val="24"/>
          <w:szCs w:val="24"/>
        </w:rPr>
        <w:t>s</w:t>
      </w:r>
      <w:r w:rsidR="008A5615" w:rsidRPr="008D30D6">
        <w:rPr>
          <w:rFonts w:eastAsia="Arial"/>
          <w:sz w:val="24"/>
          <w:szCs w:val="24"/>
        </w:rPr>
        <w:t xml:space="preserve"> </w:t>
      </w:r>
      <w:r w:rsidR="008A5615">
        <w:rPr>
          <w:rFonts w:eastAsia="Arial"/>
          <w:sz w:val="24"/>
          <w:szCs w:val="24"/>
        </w:rPr>
        <w:t xml:space="preserve">in </w:t>
      </w:r>
      <w:r w:rsidRPr="008D30D6">
        <w:rPr>
          <w:rFonts w:eastAsia="Arial"/>
          <w:sz w:val="24"/>
          <w:szCs w:val="24"/>
        </w:rPr>
        <w:t>surface SOC stock</w:t>
      </w:r>
      <w:r w:rsidR="008A5615">
        <w:rPr>
          <w:rFonts w:eastAsia="Arial"/>
          <w:sz w:val="24"/>
          <w:szCs w:val="24"/>
        </w:rPr>
        <w:t>s</w:t>
      </w:r>
      <w:r w:rsidRPr="008D30D6">
        <w:rPr>
          <w:rFonts w:eastAsia="Arial"/>
          <w:sz w:val="24"/>
          <w:szCs w:val="24"/>
        </w:rPr>
        <w:t xml:space="preserve"> from 2003 to 2022. </w:t>
      </w:r>
    </w:p>
    <w:p w14:paraId="6487AD76" w14:textId="77777777" w:rsidR="00E77D36" w:rsidRDefault="00E77D36" w:rsidP="008A5615">
      <w:pPr>
        <w:spacing w:before="120"/>
        <w:ind w:firstLine="720"/>
        <w:jc w:val="both"/>
        <w:rPr>
          <w:rFonts w:eastAsia="SimSun"/>
          <w:bCs/>
          <w:sz w:val="24"/>
          <w:szCs w:val="24"/>
        </w:rPr>
      </w:pPr>
      <w:r w:rsidRPr="00C1362F">
        <w:rPr>
          <w:rFonts w:eastAsia="SimSun"/>
          <w:bCs/>
          <w:sz w:val="24"/>
          <w:szCs w:val="24"/>
        </w:rPr>
        <w:t>It is not surprising that soils with higher clay contents are connected to</w:t>
      </w:r>
      <w:r>
        <w:rPr>
          <w:rFonts w:eastAsia="SimSun"/>
          <w:bCs/>
          <w:sz w:val="24"/>
          <w:szCs w:val="24"/>
        </w:rPr>
        <w:t xml:space="preserve"> a</w:t>
      </w:r>
      <w:r w:rsidRPr="00C1362F">
        <w:rPr>
          <w:rFonts w:eastAsia="SimSun"/>
          <w:bCs/>
          <w:sz w:val="24"/>
          <w:szCs w:val="24"/>
        </w:rPr>
        <w:t xml:space="preserve"> higher SOC sequestration rate, because finer-textured soils can better protect SOM from decomposition through physical protection and chemical adsorption </w:t>
      </w:r>
      <w:r w:rsidRPr="00C1362F">
        <w:rPr>
          <w:rFonts w:eastAsia="SimSun"/>
          <w:bCs/>
          <w:sz w:val="24"/>
          <w:szCs w:val="24"/>
        </w:rPr>
        <w:fldChar w:fldCharType="begin" w:fldLock="1"/>
      </w:r>
      <w:r w:rsidRPr="00C1362F">
        <w:rPr>
          <w:rFonts w:eastAsia="SimSun"/>
          <w:bCs/>
          <w:sz w:val="24"/>
          <w:szCs w:val="24"/>
        </w:rPr>
        <w:instrText>ADDIN CSL_CITATION {"citationItems":[{"id":"ITEM-1","itemData":{"DOI":"10.1023/A:1004213929699","ISSN":"0032079X","abstract":"Although it has been recognized that the adsorption of organics to clay and silt particles is an important determinant of the stability of organic matter in soils, no attempts have been made to quantify the amounts of C and N that can be preserved in this way in different soils. Our hypothesis is that the amounts of C and N that can be associated with clay and silt particles is limited. This study quantifies the relationships between soil texture and the maximum amounts of C and N that can be preserved in the soil by their association with clay and silt particles. To estimate the maximum amounts of C and N that can be associated with clay and silt particles we compared the amounts of clay- and silt-associated C and N in Dutch grassland soils with corresponding Dutch arable soils. Secondly, we compared the amounts of clay- and silt-associated C and N in the Dutch soils with clay and silt-associated C and N in uncultivated soils of temperate and tropical regions. We observed that although the Dutch arable soils contained less C and N than the corresponding grassland soils, the amounts of C and N associated with clay and silt particles was the same indicating that the amounts of C and N that can become associated with this fraction had reached a maximum. We also observed close positive relationships between the proportion of primary particles &lt; 20 μm in a soil and the amounts of C and N that were associated with this fraction in the top 10 cm of soils from both temperate and tropical regions. The observed relationships were assumed to estimate the capacity of a soil to preserve C and N by their association with clay and silt particles. The observed relationships did not seem to be affected by the dominant type of clay mineral. The only exception were Australian soils, which had on average more than two times lower amounts of C and N associated with clay and silt particles than other soils. This was probably due to the combination of low precipitation and high temperature leading to low inputs of organic C and N. The amount of C and N in the fraction &gt; 20 μm was not correlated with soil texture. Cultivation decreased the amount of C and N in the fraction &gt; 20 μm to a greater extent than in the fraction &lt; 20 μm, indicating that C and N associated with the fraction &lt; 20 μm is better protected against decomposition. The finding of a given soil having a maximum capacity to preserve organic C and N will improve our estimations of the amounts of C and N that can …","author":[{"dropping-particle":"","family":"Hassink","given":"Jan","non-dropping-particle":"","parse-names":false,"suffix":""}],"container-title":"Plant and Soil","id":"ITEM-1","issue":"1","issued":{"date-parts":[["1997"]]},"page":"77-87","title":"The capacity of soils to preserve organic C and N by their association with clay and silt particles","type":"article-journal","volume":"191"},"uris":["http://www.mendeley.com/documents/?uuid=80833e28-1f8e-4a4c-9fe4-44a8c4278ca9"]},{"id":"ITEM-2","itemData":{"abstract":"Soil and crop management practices have a profound impact on carbon (C) sequestration, but the mechanisms of interaction between soil structure and soil organic C (SOC) dynamics are not well understood. Understanding how an aggregate stores and protects SOC is essential to developing proper management practices to enhance SOC sequestration. The objectives of this article are to: (1) describe the importance of plants and soil functions on SOC sequestration, (2) review the mechanisms of SOC sequestration within aggregates under different vegetation and soil management practices, (3) explain methods of assessing distribution of SOC within aggregates, and (4) identify knowledge gaps with regards to SOC and soil structural dynamics. The quality and quantity of plant residues define the amount of organic matter and thus the SOC pool in aggregates. The nature of plant debris (C:N ratio, lignin content, and phenolic compound content) affects the rate of SOC sequestration. Mechanisms of interaction of aggregate dynamics with SOC are complex and embrace a range of spatial and temporal processes within macro- ( &gt; 250 μ m e.c.d.) and microaggregates ( &lt; 250 μ m e.c.d.). A relevant mechanism for SOC sequestration within aggregates is the confinement of plant debris in the core of the microaggregates. The C-rich young plant residues form and stabilize macroaggregates, whereas the old organic C is occluded in the microaggregates. Interactions of clay minerals with C rich humic compounds in correlation with clay mineralogy determine the protection and storage of SOC. Principal techniques used to assess the C distribution in aggregates include the determination of total organic C in different aggregate size fractions, isotopic methods to assess the turnover and storage of organic C in aggregates, and computed tomography and X-ray scattering to determine the internal porosity and inter-aggregate attributes. The literature is replete with studies on soil and crop management influences on total organic C and soil aggregation. However, research reports on the interactions of SOC within aggregates for C sequestration are scanty. Questions still remain on how SOC interacts physically and chemically with aggregates, and research is needed to understand the mechanisms responsible for the dynamics of aggregate formation and stability in relation to C sequestration.","author":[{"dropping-particle":"","family":"Blanco-Canqui","given":"Humberto","non-dropping-particle":"","parse-names":false,"suffix":""},{"dropping-particle":"","family":"Lal","given":"Rattan","non-dropping-particle":"","parse-names":false,"suffix":""}],"container-title":"Critical Reviews in Plant Sciences","id":"ITEM-2","issue":"6","issued":{"date-parts":[["2004"]]},"page":"481-504","title":"Mechanisms of Carbon Sequestration in Soil Aggregates","type":"article-journal","volume":"23"},"uris":["http://www.mendeley.com/documents/?uuid=5773aca0-86af-40f6-9a44-55f66f663bce"]}],"mendeley":{"formattedCitation":"(Blanco-Canqui &amp; Lal, 2004; Hassink, 1997)","plainTextFormattedCitation":"(Blanco-Canqui &amp; Lal, 2004; Hassink, 1997)","previouslyFormattedCitation":"(Blanco-Canqui &amp; Lal, 2004; Hassink, 1997)"},"properties":{"noteIndex":0},"schema":"https://github.com/citation-style-language/schema/raw/master/csl-citation.json"}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(Blanco-Canqui &amp; Lal, 2004; Hassink, 1997)</w:t>
      </w:r>
      <w:r w:rsidRPr="00C1362F">
        <w:rPr>
          <w:rFonts w:eastAsia="SimSun"/>
          <w:bCs/>
          <w:sz w:val="24"/>
          <w:szCs w:val="24"/>
        </w:rPr>
        <w:fldChar w:fldCharType="end"/>
      </w:r>
      <w:r w:rsidRPr="00C1362F">
        <w:rPr>
          <w:rFonts w:eastAsia="SimSun"/>
          <w:bCs/>
          <w:sz w:val="24"/>
          <w:szCs w:val="24"/>
        </w:rPr>
        <w:t xml:space="preserve">. Likewise, studies have reported negative correlation between SOC accumulation and slope, which can be explained by enhanced biomass production tied to moisture and nutrient accumulation, as well as reduced erosion at lower-slope positions </w:t>
      </w:r>
      <w:r w:rsidRPr="00C1362F">
        <w:rPr>
          <w:rFonts w:eastAsia="SimSun"/>
          <w:bCs/>
          <w:sz w:val="24"/>
          <w:szCs w:val="24"/>
        </w:rPr>
        <w:fldChar w:fldCharType="begin" w:fldLock="1"/>
      </w:r>
      <w:r w:rsidRPr="00C1362F">
        <w:rPr>
          <w:rFonts w:eastAsia="SimSun"/>
          <w:bCs/>
          <w:sz w:val="24"/>
          <w:szCs w:val="24"/>
        </w:rPr>
        <w:instrText>ADDIN CSL_CITATION {"citationItems":[{"id":"ITEM-1","itemData":{"DOI":"10.1023/A:1023369500529","ISSN":"01682563","abstract":"The conversion of annually cultivated or disturbed marginal land to forage grasses has the potential to accrete soil organic carbon (SOC) in the surface 0-15 cm depth. Soil organic carbon mass (Mg ha-1) was measured in ten side-by-side cultivated versus forage grass seed-down restoration treatments on catenae at various sites in east-central Saskatchewan, Canada. Treatments were imposed for time periods ranging from five to twelve years. It was found that SOC mass was usually significantly higher in the grassland restorations versus the paired cultivated equivalents. Estimated SOC gain rates (0-15 cm) from grass seed-down in the region was estimated to be 0.6 to 0.8 Mg C ha-1 yr-1. Light fraction organic carbon (LFOC), the labile component of SOC, was more variable in the comparisons than SOC. Measured 13C natural abundance values in selected equivalent comparisons revealed a possible contribution from seeded warm season C4 grasses and soil carbonate 13C to the C pools in upslope positions of the landscape. Overall, grassland restoration in this region appears to result in increased carbon storage in the surface soil.","author":[{"dropping-particle":"","family":"Mensah","given":"F.","non-dropping-particle":"","parse-names":false,"suffix":""},{"dropping-particle":"","family":"Schoenau","given":"J. J.","non-dropping-particle":"","parse-names":false,"suffix":""},{"dropping-particle":"","family":"Malhi","given":"S. S.","non-dropping-particle":"","parse-names":false,"suffix":""}],"container-title":"Biogeochemistry","id":"ITEM-1","issue":"1","issued":{"date-parts":[["2003"]]},"page":"85-92","title":"Soil carbon changes in cultivated and excavated land converted to grasses in east-central Saskatchewan","type":"article-journal","volume":"63"},"uris":["http://www.mendeley.com/documents/?uuid=a1cfda8e-bf7c-4b75-9a3c-4a4b7bbe7694"]},{"id":"ITEM-2","itemData":{"DOI":"10.1016/j.agee.2020.107184","ISSN":"01678809","abstract":"Increasing soil organic carbon (SOC) in agroecosystems enables to address simultaneously multiple goals such as climate change adaptation and mitigation as well as food security. As croplands are depleted in SOC, they offer a great potential to sequester atmospheric carbon (C). Nonetheless, croplands are still losing SOC under most of the current agricultural systems. Although many factors driving SOC dynamics have already been identified, their relative importance has not been quantified yet. Using one of the densest European soil monitoring networks with 250 sites established in western Switzerland, in the present study we (i) assessed long-term (over 30 years) SOC dynamics in croplands (CR), permanent grasslands (PG) and mountain pastures (MP), and (ii) prioritized the importance of land use, soil characteristics and sites conditions in driving SOC dynamics. The SOC levels in PG and MP were similar when clay content was accounted for, whereas CR were depleted in SOC by 3.9 mg C mg−1 clay as compared to PG. The majority (61 %) of CR had SOC:clay ratio below 1:10, but only 16 % of PG and MP sites reached this threshold. By contrast, soil organic matter stoichiometry (C:N:Porg ratios) was similar in CR and PG for comparable SOC content. The increase of C:Porg ratio with SOC content (dilution effect) and the high total P in CR and PG (legacy effect) indicate the possibility to sequester atmospheric C at reduced nutrient sequestration costs. SOC changes ranged from -0.61 to 1.32 mg g-1 soil yr−1 and were the highest in sites that experienced land-use changes. No PG were losing SOC, while CR sites exhibited both SOC gains and losses. Because of the predominance of the initial SOC content on SOC dynamics, land-use history must be accounted for when assessing the effect of management practices. The main manageable factors driving SOC dynamics were the time under temporary or permanent grasslands along with the soil total P. As PG already are rich in SOC and total P, organic amendments should be partly redirected to CR.","author":[{"dropping-particle":"","family":"Guillaume","given":"Thomas","non-dropping-particle":"","parse-names":false,"suffix":""},{"dropping-particle":"","family":"Bragazza","given":"Luca","non-dropping-particle":"","parse-names":false,"suffix":""},{"dropping-particle":"","family":"Levasseur","given":"Clément","non-dropping-particle":"","parse-names":false,"suffix":""},{"dropping-particle":"","family":"Libohova","given":"Zamir","non-dropping-particle":"","parse-names":false,"suffix":""},{"dropping-particle":"","family":"Sinaj","given":"Sokrat","non-dropping-particle":"","parse-names":false,"suffix":""}],"container-title":"Agriculture, Ecosystems and Environment","id":"ITEM-2","issued":{"date-parts":[["2021"]]},"page":"e107184","title":"Long-term soil organic carbon dynamics in temperate cropland-grassland systems","type":"article-journal","volume":"305"},"uris":["http://www.mendeley.com/documents/?uuid=f9da782c-6495-4e15-830e-b2398fec0748"]}],"mendeley":{"formattedCitation":"(Guillaume et al., 2021; Mensah et al., 2003)","plainTextFormattedCitation":"(Guillaume et al., 2021; Mensah et al., 2003)","previouslyFormattedCitation":"(Guillaume et al., 2021; Mensah et al., 2003)"},"properties":{"noteIndex":0},"schema":"https://github.com/citation-style-language/schema/raw/master/csl-citation.json"}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(Guillaume et al., 2021; Mensah et al., 2003)</w:t>
      </w:r>
      <w:r w:rsidRPr="00C1362F">
        <w:rPr>
          <w:rFonts w:eastAsia="SimSun"/>
          <w:bCs/>
          <w:sz w:val="24"/>
          <w:szCs w:val="24"/>
        </w:rPr>
        <w:fldChar w:fldCharType="end"/>
      </w:r>
      <w:r w:rsidRPr="00C1362F">
        <w:rPr>
          <w:rFonts w:eastAsia="SimSun"/>
          <w:bCs/>
          <w:sz w:val="24"/>
          <w:szCs w:val="24"/>
        </w:rPr>
        <w:t xml:space="preserve">. The higher SOC sequestration rate observed from warmer sites reflects increased rangeland productivity; however, temperature effects on SOC dynamics can be confounded by factors such as rangeland vegetation composition, soil texture, soil moisture, and grazing management practices </w:t>
      </w:r>
      <w:r w:rsidRPr="00C1362F">
        <w:rPr>
          <w:rFonts w:eastAsia="SimSun"/>
          <w:bCs/>
          <w:sz w:val="24"/>
          <w:szCs w:val="24"/>
        </w:rPr>
        <w:fldChar w:fldCharType="begin" w:fldLock="1"/>
      </w:r>
      <w:r w:rsidRPr="00C1362F">
        <w:rPr>
          <w:rFonts w:eastAsia="SimSun"/>
          <w:bCs/>
          <w:sz w:val="24"/>
          <w:szCs w:val="24"/>
        </w:rPr>
        <w:instrText>ADDIN CSL_CITATION {"citationItems":[{"id":"ITEM-1","itemData":{"DOI":"10.1111/j.1469-8137.2004.01201.x","ISSN":"0028646X","abstract":"The substantial stocks of carbon sequestered in temperate grassland ecosystems are located largely below ground in roots and soil. Organic C in the soil is located in discrete pools, but the characteristics of these pools are still uncertain. Carbon sequestration can be determined directly by measuring changes in C pools, indirectly by using 13C as a tracer, or by simulation modelling. All these methods have their limitations, but long-term estimates rely almost exclusively on modelling. Measured and modelled rates of C sequestration range from 0 to &gt; 8 Mg C ha-1 yr-1. Management practices, climate and elevated CO2 strongly influence C sequestration rates and their influence on future C stocks in grassland soils is considered. Currently there is significant potential to increase C sequestration in temperate grassland systems by changes in management, but climate change and increasing CO2 concentrations in future will also have significant impacts. Global warming may negate any storage stimulated by changed management and elevated CO2, although there is increasing evidence that the reverse could be the case. © New Phytologist (2004).","author":[{"dropping-particle":"","family":"Jones","given":"M. B.","non-dropping-particle":"","parse-names":false,"suffix":""},{"dropping-particle":"","family":"Donnelly","given":"Alison","non-dropping-particle":"","parse-names":false,"suffix":""}],"container-title":"New Phytologist","id":"ITEM-1","issue":"3","issued":{"date-parts":[["2004"]]},"page":"423-439","title":"Carbon sequestration in temperate grassland ecosystems and the influence of management, climate and elevated CO&lt;sub&gt;2&lt;/sub&gt;","type":"article-journal","volume":"164"},"uris":["http://www.mendeley.com/documents/?uuid=6051f982-94f3-4c43-b981-61fe8e853b81"]},{"id":"ITEM-2","itemData":{"DOI":"10.1126/science.abo2380","ISSN":"10959203","PMID":"35926033","abstract":"Grasslands store approximately one third of the global terrestrial carbon stocks and can act as an important soil carbon sink. Recent studies show that plant diversity increases soil organic carbon (SOC) storage by elevating carbon inputs to belowground biomass and promoting microbial necromass contribution to SOC storage. Climate change affects grassland SOC storage by modifying the processes of plant carbon inputs and microbial catabolism and anabolism. Improved grazing management and biodiversity restoration can provide low-cost and/or high-carbon-gain options for natural climate solutions in global grasslands. The achievable SOC sequestration potential in global grasslands is 2.3 to 7.3 billion tons of carbon dioxide equivalents per year (CO2e year-1) for biodiversity restoration, 148 to 699 megatons of CO2e year-1 for improved grazing management, and 147 megatons of CO2e year-1 for sown legumes in pasturelands.","author":[{"dropping-particle":"","family":"Bai","given":"Yongfei","non-dropping-particle":"","parse-names":false,"suffix":""},{"dropping-particle":"","family":"Cotrufo","given":"M. Francesca","non-dropping-particle":"","parse-names":false,"suffix":""}],"container-title":"Science","id":"ITEM-2","issue":"6606","issued":{"date-parts":[["2022"]]},"page":"603-608","title":"Grassland soil carbon sequestration: Current understanding, challenges, and solutions","type":"article-journal","volume":"377"},"uris":["http://www.mendeley.com/documents/?uuid=18285bf9-ae0c-49d7-b2d5-eaaf16c41d87"]}],"mendeley":{"formattedCitation":"(Bai &amp; Cotrufo, 2022; M. B. Jones &amp; Donnelly, 2004)","manualFormatting":"(Bai &amp; Cotrufo, 2022; Jones &amp; Donnelly, 2004)","plainTextFormattedCitation":"(Bai &amp; Cotrufo, 2022; M. B. Jones &amp; Donnelly, 2004)","previouslyFormattedCitation":"(Bai &amp; Cotrufo, 2022; M. B. Jones &amp; Donnelly, 2004)"},"properties":{"noteIndex":0},"schema":"https://github.com/citation-style-language/schema/raw/master/csl-citation.json"}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(Bai &amp; Cotrufo, 2022; Jones &amp; Donnelly, 2004)</w:t>
      </w:r>
      <w:r w:rsidRPr="00C1362F">
        <w:rPr>
          <w:rFonts w:eastAsia="SimSun"/>
          <w:bCs/>
          <w:sz w:val="24"/>
          <w:szCs w:val="24"/>
        </w:rPr>
        <w:fldChar w:fldCharType="end"/>
      </w:r>
      <w:r w:rsidRPr="00C1362F">
        <w:rPr>
          <w:rFonts w:eastAsia="SimSun"/>
          <w:bCs/>
          <w:sz w:val="24"/>
          <w:szCs w:val="24"/>
        </w:rPr>
        <w:t>. Given that an increase in VPD indicates atmospheric drought, which is associated with soil moisture stress</w:t>
      </w:r>
      <w:r>
        <w:rPr>
          <w:rFonts w:eastAsia="SimSun"/>
          <w:bCs/>
          <w:sz w:val="24"/>
          <w:szCs w:val="24"/>
        </w:rPr>
        <w:t xml:space="preserve"> (Krishnan et al., 2012)</w:t>
      </w:r>
      <w:r w:rsidRPr="00C1362F">
        <w:rPr>
          <w:rFonts w:eastAsia="SimSun"/>
          <w:bCs/>
          <w:sz w:val="24"/>
          <w:szCs w:val="24"/>
        </w:rPr>
        <w:t>, it is anticipated that higher VPD values can lead to decrease</w:t>
      </w:r>
      <w:r>
        <w:rPr>
          <w:rFonts w:eastAsia="SimSun"/>
          <w:bCs/>
          <w:sz w:val="24"/>
          <w:szCs w:val="24"/>
        </w:rPr>
        <w:t>s</w:t>
      </w:r>
      <w:r w:rsidRPr="00C1362F">
        <w:rPr>
          <w:rFonts w:eastAsia="SimSun"/>
          <w:bCs/>
          <w:sz w:val="24"/>
          <w:szCs w:val="24"/>
        </w:rPr>
        <w:t xml:space="preserve"> in leaf conductance and assimilation rate and, subsequently, reduced grassland productivity and SOC sequestration rate </w:t>
      </w:r>
      <w:r w:rsidRPr="00C1362F">
        <w:rPr>
          <w:rFonts w:eastAsia="SimSun"/>
          <w:bCs/>
          <w:sz w:val="24"/>
          <w:szCs w:val="24"/>
        </w:rPr>
        <w:fldChar w:fldCharType="begin" w:fldLock="1"/>
      </w:r>
      <w:r w:rsidRPr="00C1362F">
        <w:rPr>
          <w:rFonts w:eastAsia="SimSun"/>
          <w:bCs/>
          <w:sz w:val="24"/>
          <w:szCs w:val="24"/>
        </w:rPr>
        <w:instrText>ADDIN CSL_CITATION {"citationItems":[{"id":"ITEM-1","itemData":{"DOI":"10.1016/j.envres.2017.08.001","ISSN":"10960953","PMID":"28797887","abstract":"Background Quantifying carbon (C) dioxide exchanges between ecosystems and the atmosphere and the underlying mechanism of biophysical regulations under similar environmental conditions is critical for an accurate understanding of C budgets and ecosystem functions. Methods For the first time, a cluster of four eddy covariance towers were set up to answer how C fluxes shift among four dominant ecosystems in Mongolia – meadow steppe (MDW), typical steppe (TPL), dry typical steppe (DRT) and shrubland (SHB) during two growing seasons (2014 and 2015). Results Large variations were observed for the annual net ecosystem exchange (NEE) from 59 to 193 g C m− 2, though all four sites acted as a C source. During the two growing seasons, MDW acted as a C sink, TPL and DRT were C neutral, while SHB acted as a C source. MDW to SHB and TPL conversions resulted in a 2.6- and 2.2-fold increase in C release, respectively, whereas the TPL to SHB conversion resulted in a 1.1-fold increase at the annual scale. C assimilation was higher at MDW than those at the other three ecosystems due to its greater C assimilation ability and longer C assimilation times during the day and growing period. On the other hand, C release was highest at SHB due to significantly lower photosynthetic production and relatively higher ecosystem respiration (ER). A stepwise multiple regression analysis showed that the seasonal variations in NEE, ER and gross ecosystem production (GEP) were controlled by air temperature at MDW, while they were controlled mainly by soil moisture at TPL, DRT and SHB. When air temperature increased, the NEE at MDW and TPL changed more dramatically than at DRT and SHB, suggesting not only a stronger C release ability but also a higher temperature sensitivity at MDW and TPL. Conclusions The ongoing and predicted global changes in Mongolia likely impact the C exchange at MDW and TPL more than at DRT and SHB in Mongolia. Our results suggest that, with increasing drought and vegetation type succession, a clear trend for greater CO2 emissions may result in further global warming in the future. This study implies that diverse grassland ecosystems will respond differently to climate change in the future and can be seen as nature-based solutions (NBS) supporting climate change adaptation and mitigation strategies.","author":[{"dropping-particle":"","family":"Shao","given":"Changliang","non-dropping-particle":"","parse-names":false,"suffix":""},{"dropping-particle":"","family":"Chen","given":"Jiquan","non-dropping-particle":"","parse-names":false,"suffix":""},{"dropping-particle":"","family":"Chu","given":"Housen","non-dropping-particle":"","parse-names":false,"suffix":""},{"dropping-particle":"","family":"Lafortezza","given":"Raffaele","non-dropping-particle":"","parse-names":false,"suffix":""},{"dropping-particle":"","family":"Dong","given":"Gang","non-dropping-particle":"","parse-names":false,"suffix":""},{"dropping-particle":"","family":"Abraha","given":"Michael","non-dropping-particle":"","parse-names":false,"suffix":""},{"dropping-particle":"","family":"Batkhishig","given":"Ochirbat","non-dropping-particle":"","parse-names":false,"suffix":""},{"dropping-particle":"","family":"John","given":"Ranjeet","non-dropping-particle":"","parse-names":false,"suffix":""},{"dropping-particle":"","family":"Ouyang","given":"Zutao","non-dropping-particle":"","parse-names":false,"suffix":""},{"dropping-particle":"","family":"Zhang","given":"Yaoqi","non-dropping-particle":"","parse-names":false,"suffix":""},{"dropping-particle":"","family":"Qi","given":"Jiaguo","non-dropping-particle":"","parse-names":false,"suffix":""}],"container-title":"Environmental Research","id":"ITEM-1","issued":{"date-parts":[["2017"]]},"page":"124-134","title":"Grassland productivity and carbon sequestration in Mongolian grasslands: The underlying mechanisms and nomadic implications","type":"article-journal","volume":"159"},"uris":["http://www.mendeley.com/documents/?uuid=04912f3d-4542-4b48-8aa0-4e766247cf26"]},{"id":"ITEM-2","itemData":{"DOI":"10.1016/j.agrformet.2022.109276","ISSN":"01681923","abstract":"Light use efficiency (LUE) models have been widely used in the estimation of gross primary productivity (GPP). However, many studies indicated that current LUE models generally overestimate GPP during drought years. Recent studies also showed that soil moisture (SM) regulated LUE during drought years, indicating the necessity of adding SM-related stress scalars in LUE models. Meanwhile, considering the persistence characteristic of drought, the effect of SM stress on LUE is expected to be not only instantaneous but also accumulated. However, it is unclear whether the accumulated SM stress can better capture LUE. Thus, based on observations from grassland flux sites in the United States and Australia, we compared the effectiveness of concurrent soil moisture deficit (SMD), lagged soil moisture deficit (LSMD), and accumulated soil moisture deficit (ASMD) in capturing actual LUE during drought years. ASMD had more stable and stronger linear correlations with LUE than SMD and LSMD at almost all the sites. Furthermore, ASMD outperformed water stress scalars commonly used in LUE models such as the Land Surface Water Index (LSWI) and vapor pressure deficit (VPD) for tracking actual LUE during drought years. The introduction of ASMD improved the accuracy of the LUE model for simulating grassland GPP during drought years (with a R2 and RMSE of 0.88 and 1.06 g C m−2 d−1). Our study highlights the accumulated effect of SM in regulating LUE, and proves that ASMD has the potential in improving the performance of the existing LUE models during drought years.","author":[{"dropping-particle":"","family":"Zhang","given":"Zhenyu","non-dropping-particle":"","parse-names":false,"suffix":""},{"dropping-particle":"","family":"Zhou","given":"Yanlian","non-dropping-particle":"","parse-names":false,"suffix":""},{"dropping-particle":"","family":"Ju","given":"Weimin","non-dropping-particle":"","parse-names":false,"suffix":""},{"dropping-particle":"","family":"Chen","given":"Jingming","non-dropping-particle":"","parse-names":false,"suffix":""},{"dropping-particle":"","family":"Xiao","given":"Jingfeng","non-dropping-particle":"","parse-names":false,"suffix":""}],"container-title":"Agricultural and Forest Meteorology","id":"ITEM-2","issued":{"date-parts":[["2023"]]},"page":"e109276","title":"Accumulated soil moisture deficit better indicates the effect of soil water stress on light use efficiency of grasslands during drought years","type":"article-journal","volume":"329"},"uris":["http://www.mendeley.com/documents/?uuid=ea86740a-2b2b-461f-be7a-54010c1a0f6c"]}],"mendeley":{"formattedCitation":"(Shao et al., 2017; Z. Zhang et al., 2023)","manualFormatting":"(Shao et al., 2017; Zhang et al., 2023)","plainTextFormattedCitation":"(Shao et al., 2017; Z. Zhang et al., 2023)","previouslyFormattedCitation":"(Shao et al., 2017; Z. Zhang et al., 2023)"},"properties":{"noteIndex":0},"schema":"https://github.com/citation-style-language/schema/raw/master/csl-citation.json"}</w:instrText>
      </w:r>
      <w:r w:rsidRPr="00C1362F">
        <w:rPr>
          <w:rFonts w:eastAsia="SimSun"/>
          <w:bCs/>
          <w:sz w:val="24"/>
          <w:szCs w:val="24"/>
        </w:rPr>
        <w:fldChar w:fldCharType="separate"/>
      </w:r>
      <w:r w:rsidRPr="00C1362F">
        <w:rPr>
          <w:rFonts w:eastAsia="SimSun"/>
          <w:bCs/>
          <w:noProof/>
          <w:sz w:val="24"/>
          <w:szCs w:val="24"/>
        </w:rPr>
        <w:t>(Shao et al., 2017; Zhang et al., 2023)</w:t>
      </w:r>
      <w:r w:rsidRPr="00C1362F">
        <w:rPr>
          <w:rFonts w:eastAsia="SimSun"/>
          <w:bCs/>
          <w:sz w:val="24"/>
          <w:szCs w:val="24"/>
        </w:rPr>
        <w:fldChar w:fldCharType="end"/>
      </w:r>
      <w:r w:rsidRPr="00C1362F">
        <w:rPr>
          <w:rFonts w:eastAsia="SimSun"/>
          <w:bCs/>
          <w:sz w:val="24"/>
          <w:szCs w:val="24"/>
        </w:rPr>
        <w:t xml:space="preserve">.   </w:t>
      </w:r>
    </w:p>
    <w:p w14:paraId="44166740" w14:textId="62F2B25B" w:rsidR="00E77D36" w:rsidRPr="00C37E5B" w:rsidRDefault="00E77D36" w:rsidP="008A5615">
      <w:pPr>
        <w:pStyle w:val="Heading-Secondary"/>
      </w:pPr>
      <w:r w:rsidRPr="00C1362F">
        <w:t>4.</w:t>
      </w:r>
      <w:r>
        <w:t xml:space="preserve">3 Limitations and </w:t>
      </w:r>
      <w:r w:rsidR="008A5615">
        <w:t>f</w:t>
      </w:r>
      <w:r>
        <w:t xml:space="preserve">uture </w:t>
      </w:r>
      <w:r w:rsidR="008A5615">
        <w:t>w</w:t>
      </w:r>
      <w:r>
        <w:t>ork</w:t>
      </w:r>
    </w:p>
    <w:p w14:paraId="2A83E4DB" w14:textId="7179472F" w:rsidR="00E77D36" w:rsidRPr="002911EA" w:rsidRDefault="00E77D36" w:rsidP="008A5615">
      <w:pPr>
        <w:spacing w:before="120"/>
        <w:ind w:firstLine="720"/>
        <w:jc w:val="both"/>
        <w:rPr>
          <w:rFonts w:eastAsia="SimSun"/>
          <w:bCs/>
          <w:sz w:val="24"/>
          <w:szCs w:val="24"/>
        </w:rPr>
      </w:pPr>
      <w:r>
        <w:rPr>
          <w:rFonts w:eastAsia="Arial"/>
          <w:sz w:val="24"/>
        </w:rPr>
        <w:t>The discrepancy in modeled and measured SOC stocks points to the need to further refine</w:t>
      </w:r>
      <w:r w:rsidRPr="00C1362F">
        <w:rPr>
          <w:rFonts w:eastAsia="Arial"/>
          <w:sz w:val="24"/>
        </w:rPr>
        <w:t xml:space="preserve"> </w:t>
      </w:r>
      <w:r>
        <w:rPr>
          <w:rFonts w:eastAsia="Arial"/>
          <w:sz w:val="24"/>
        </w:rPr>
        <w:t>RCTM</w:t>
      </w:r>
      <w:r w:rsidRPr="00C1362F">
        <w:rPr>
          <w:rFonts w:eastAsia="Arial"/>
          <w:sz w:val="24"/>
        </w:rPr>
        <w:t xml:space="preserve"> to account for the diffusion and advection among different depth layers </w:t>
      </w:r>
      <w:r>
        <w:rPr>
          <w:rFonts w:eastAsia="Arial"/>
          <w:sz w:val="24"/>
        </w:rPr>
        <w:fldChar w:fldCharType="begin" w:fldLock="1"/>
      </w:r>
      <w:r>
        <w:rPr>
          <w:rFonts w:eastAsia="Arial"/>
          <w:sz w:val="24"/>
        </w:rPr>
        <w:instrText>ADDIN CSL_CITATION {"citationItems":[{"id":"ITEM-1","itemData":{"DOI":"10.5194/bg-18-3147-2021","ISSN":"1726-4189","author":[{"dropping-particle":"","family":"Zhang","given":"Yao","non-dropping-particle":"","parse-names":false,"suffix":""},{"dropping-particle":"","family":"Lavallee","given":"Jocelyn M.","non-dropping-particle":"","parse-names":false,"suffix":""},{"dropping-particle":"","family":"Robertson","given":"Andy D.","non-dropping-particle":"","parse-names":false,"suffix":""},{"dropping-particle":"","family":"Even","given":"Rebecca","non-dropping-particle":"","parse-names":false,"suffix":""},{"dropping-particle":"","family":"Ogle","given":"Stephen M.","non-dropping-particle":"","parse-names":false,"suffix":""},{"dropping-particle":"","family":"Paustian","given":"Keith","non-dropping-particle":"","parse-names":false,"suffix":""},{"dropping-particle":"","family":"Cotrufo","given":"M. Francesca","non-dropping-particle":"","parse-names":false,"suffix":""}],"container-title":"Biogeosciences","id":"ITEM-1","issue":"10","issued":{"date-parts":[["2021","5","26"]]},"page":"3147-3171","title":"Simulating measurable ecosystem carbon and nitrogen dynamics with the mechanistically defined MEMS 2.0 model","type":"article-journal","volume":"18"},"uris":["http://www.mendeley.com/documents/?uuid=7ddcc557-d7f6-4a24-8346-85b90c4f0150"]},{"id":"ITEM-2","itemData":{"DOI":"10.1007/s10533-008-9221-8","ISSN":"01682563","abstract":"For soil carbon to be effectively sequestered beyond a timescale of a few decades, this carbon must become incorporated into passive reservoirs or greater depths, yet the actual mechanisms by which this occurs is at best poorly known. In this study, we quantified the magnitude of dissolved organic carbon (DOC) leaching and subsequent retention in soils of a coniferous forest and a coastal prairie ecosystem. Despite small annual losses of DOC relative to respiratory losses, DOC leaching plays a significant role in transporting C from surface horizons and stabilizing it within the mineral soil. We found that DOC movement into the mineral soil constitutes 22% of the annual C inputs below 40 cm in a coniferous forest, whereas only 2% of the C inputs below 20 cm in a prairie soil could be accounted for by this process. In line with these C input estimates, we calculated advective transport velocities of 1.05 and 0.45 mm year -1 for the forested and prairie sites, respectively. Radiocarbon measurements of field-collected DOC interpreted with a basic transport-turnover model indicated that DOC which was transported and subsequently absorbed had a mean residence time of 90-150 years. Given these residence times, the process of DOC movement and retention is responsible for 20% of the total mineral soil C stock to 1 m in the forest soil and 9% in the prairie soil. These results provide quantitative data confirming differences in C cycles in forests and grasslands, and suggest the need for incorporating a better mechanistic understanding of soil C transport, storage and turnover processes into both local and regional C cycle models. © 2008 Springer Science+Business Media B.V.","author":[{"dropping-particle":"","family":"Sanderman","given":"Jonathan","non-dropping-particle":"","parse-names":false,"suffix":""},{"dropping-particle":"","family":"Amundson","given":"Ronald","non-dropping-particle":"","parse-names":false,"suffix":""}],"container-title":"Biogeochemistry","id":"ITEM-2","issue":"3","issued":{"date-parts":[["2008"]]},"page":"309-327","title":"A comparative study of dissolved organic carbon transport and stabilization in California forest and grassland soils","type":"article-journal","volume":"89"},"uris":["http://www.mendeley.com/documents/?uuid=ea087322-aa93-43d3-9e43-0e2031bf2df4"]}],"mendeley":{"formattedCitation":"(Sanderman &amp; Amundson, 2008; Yao Zhang et al., 2021)","plainTextFormattedCitation":"(Sanderman &amp; Amundson, 2008; Yao Zhang et al., 2021)","previouslyFormattedCitation":"(Sanderman &amp; Amundson, 2008; Yao Zhang et al., 2021)"},"properties":{"noteIndex":0},"schema":"https://github.com/citation-style-language/schema/raw/master/csl-citation.json"}</w:instrText>
      </w:r>
      <w:r>
        <w:rPr>
          <w:rFonts w:eastAsia="Arial"/>
          <w:sz w:val="24"/>
        </w:rPr>
        <w:fldChar w:fldCharType="separate"/>
      </w:r>
      <w:r w:rsidRPr="00711B9E">
        <w:rPr>
          <w:rFonts w:eastAsia="Arial"/>
          <w:noProof/>
          <w:sz w:val="24"/>
        </w:rPr>
        <w:t>(Sanderman &amp; Amundson, 2008; Yao Zhang et al., 2021)</w:t>
      </w:r>
      <w:r>
        <w:rPr>
          <w:rFonts w:eastAsia="Arial"/>
          <w:sz w:val="24"/>
        </w:rPr>
        <w:fldChar w:fldCharType="end"/>
      </w:r>
      <w:r w:rsidRPr="00C1362F">
        <w:rPr>
          <w:rFonts w:eastAsia="Arial"/>
          <w:sz w:val="24"/>
        </w:rPr>
        <w:t xml:space="preserve"> as well as</w:t>
      </w:r>
      <w:r w:rsidRPr="002460D2">
        <w:rPr>
          <w:rFonts w:eastAsia="Arial"/>
          <w:sz w:val="24"/>
        </w:rPr>
        <w:t xml:space="preserve"> </w:t>
      </w:r>
      <w:r>
        <w:rPr>
          <w:rFonts w:eastAsia="Arial"/>
          <w:sz w:val="24"/>
        </w:rPr>
        <w:t xml:space="preserve">the </w:t>
      </w:r>
      <w:r w:rsidRPr="00C1362F">
        <w:rPr>
          <w:rFonts w:eastAsia="Arial"/>
          <w:sz w:val="24"/>
        </w:rPr>
        <w:t>depth effects on SOC decomposition</w:t>
      </w:r>
      <w:r>
        <w:rPr>
          <w:rFonts w:eastAsia="Arial"/>
          <w:sz w:val="24"/>
        </w:rPr>
        <w:t xml:space="preserve">. The use of average environmental conditions from a relatively short period of time for model initialization, along with the fact that RS inputs might not fully capture management (e.g., irrigation) or legacy climate impacts on SOC dynamics </w:t>
      </w:r>
      <w:r>
        <w:rPr>
          <w:rFonts w:eastAsia="Arial"/>
          <w:sz w:val="24"/>
        </w:rPr>
        <w:fldChar w:fldCharType="begin" w:fldLock="1"/>
      </w:r>
      <w:r>
        <w:rPr>
          <w:rFonts w:eastAsia="Arial"/>
          <w:sz w:val="24"/>
        </w:rPr>
        <w:instrText>ADDIN CSL_CITATION {"citationItems":[{"id":"ITEM-1","itemData":{"DOI":"10.1126/sciadv.1602008","ISSN":"23752548","PMID":"28439540","abstract":"Climatic conditions shift gradually over millennia, altering the rates at which carbon (C) is fixed from the atmosphere and stored in the soil. However, legacy impacts of past climates on current soil C stocks are poorly understood. We used data from more than 5000 terrestrial sites from three global and regional data sets to identify the relative importance of current and past (Last Glacial Maximum and mid-Holocene) climatic conditions in regulating soil C stocks in natural and agricultural areas. Paleoclimate always explained a greater amount of the variance in soil C stocks than current climate at regional and global scales. Our results indicate that climatic legacies help determine global soil C stocks in terrestrial ecosystems where agriculture is highly dependent on current climatic conditions. Our findings emphasize the importance of considering how climate legacies influence soil C content, allowing us to improve quantitative predictions of global C stocks under different climatic scenarios.","author":[{"dropping-particle":"","family":"Delgado-Baquerizo","given":"Manuel","non-dropping-particle":"","parse-names":false,"suffix":""},{"dropping-particle":"","family":"Eldridge","given":"David J.","non-dropping-particle":"","parse-names":false,"suffix":""},{"dropping-particle":"","family":"Maestre","given":"Fernando T.","non-dropping-particle":"","parse-names":false,"suffix":""},{"dropping-particle":"","family":"Karunaratne","given":"Senani B.","non-dropping-particle":"","parse-names":false,"suffix":""},{"dropping-particle":"","family":"Trivedi","given":"Pankaj","non-dropping-particle":"","parse-names":false,"suffix":""},{"dropping-particle":"","family":"Reich","given":"Peter B.","non-dropping-particle":"","parse-names":false,"suffix":""},{"dropping-particle":"","family":"Singh","given":"Brajesh K.","non-dropping-particle":"","parse-names":false,"suffix":""}],"container-title":"Science Advances","id":"ITEM-1","issue":"4","issued":{"date-parts":[["2017"]]},"page":"e1602008","title":"Climate legacies drive global soil carbon stocks in terrestrial ecosystems","type":"article-journal","volume":"3"},"uris":["http://www.mendeley.com/documents/?uuid=69060dd3-3eac-47ae-a1c6-bc650bc3254c"]},{"id":"ITEM-2","itemData":{"DOI":"10.1088/1748-9326/ac7ed8","ISSN":"17489326","abstract":"Understanding the human water footprint and its impact on the hydrological cycle is essential to inform water management under climate change. Despite efforts in estimating irrigation water withdrawals in earth system models, uncertainties and discrepancies exist within and across modeling systems conditioned by model structure, irrigation parameterization, and the choice of input datasets. Achieving model reliability could be much more challenging for data-sparse regions, given limited access to ground truth for parameterization and validation. Here, we demonstrate the potential of utilizing remotely sensed vegetation and soil moisture observations in constraining irrigation estimation in the Noah-MP land surface model. Results indicate that the two constraints together can effectively reduce model sensitivity to the choice of irrigation parameterization by 7%-43%. It also improves the characterization of the spatial patterns of irrigation and its impact on evapotranspiration and surface soil moisture by correcting for vegetation conditions and irrigation timing. This study highlights the importance of utilizing remotely sensed soil moisture and vegetation measurements in detecting irrigation signals and correcting for vegetation growth. Integrating the two remote sensing datasets into the model provides an effective and less feature engineered approach to constraining the uncertainty of irrigation modeling. Such strategies can be potentially transferred to other modeling systems and applied to regions across the globe.","author":[{"dropping-particle":"","family":"Nie","given":"Wanshu","non-dropping-particle":"","parse-names":false,"suffix":""},{"dropping-particle":"V.","family":"Kumar","given":"Sujay","non-dropping-particle":"","parse-names":false,"suffix":""},{"dropping-particle":"","family":"Bindlish","given":"Rajat","non-dropping-particle":"","parse-names":false,"suffix":""},{"dropping-particle":"","family":"Liu","given":"Pang Wei","non-dropping-particle":"","parse-names":false,"suffix":""},{"dropping-particle":"","family":"Wang","given":"Shugong","non-dropping-particle":"","parse-names":false,"suffix":""}],"container-title":"Environmental Research Letters","id":"ITEM-2","issue":"8","issued":{"date-parts":[["2022"]]},"page":"e084010","title":"Remote sensing-based vegetation and soil moisture constraints reduce irrigation estimation uncertainty","type":"article-journal","volume":"17"},"uris":["http://www.mendeley.com/documents/?uuid=220ae27f-5524-4d5c-a377-3fa3d18ced49"]}],"mendeley":{"formattedCitation":"(Delgado-Baquerizo et al., 2017; Nie et al., 2022)","plainTextFormattedCitation":"(Delgado-Baquerizo et al., 2017; Nie et al., 2022)","previouslyFormattedCitation":"(Delgado-Baquerizo et al., 2017; Nie et al., 2022)"},"properties":{"noteIndex":0},"schema":"https://github.com/citation-style-language/schema/raw/master/csl-citation.json"}</w:instrText>
      </w:r>
      <w:r>
        <w:rPr>
          <w:rFonts w:eastAsia="Arial"/>
          <w:sz w:val="24"/>
        </w:rPr>
        <w:fldChar w:fldCharType="separate"/>
      </w:r>
      <w:r w:rsidRPr="00090A54">
        <w:rPr>
          <w:rFonts w:eastAsia="Arial"/>
          <w:noProof/>
          <w:sz w:val="24"/>
        </w:rPr>
        <w:t>(Delgado-Baquerizo et al., 2017; Nie et al., 2022)</w:t>
      </w:r>
      <w:r>
        <w:rPr>
          <w:rFonts w:eastAsia="Arial"/>
          <w:sz w:val="24"/>
        </w:rPr>
        <w:fldChar w:fldCharType="end"/>
      </w:r>
      <w:r>
        <w:rPr>
          <w:rFonts w:eastAsia="Arial"/>
          <w:sz w:val="24"/>
        </w:rPr>
        <w:t>, might also lead to estimation bias.</w:t>
      </w:r>
      <w:r>
        <w:rPr>
          <w:rFonts w:eastAsia="SimSun"/>
          <w:bCs/>
          <w:sz w:val="24"/>
          <w:szCs w:val="24"/>
        </w:rPr>
        <w:t xml:space="preserve"> </w:t>
      </w:r>
      <w:r>
        <w:rPr>
          <w:rFonts w:eastAsia="Arial"/>
          <w:sz w:val="24"/>
        </w:rPr>
        <w:t>It should be noted that</w:t>
      </w:r>
      <w:r w:rsidRPr="00C1362F">
        <w:rPr>
          <w:rFonts w:eastAsia="Arial"/>
          <w:sz w:val="24"/>
        </w:rPr>
        <w:t xml:space="preserve"> RCTM or similar RS-driven process modeling approach-based systems are limited by the assumption that RS inputs can adequately capture management-driven (e.g., grazing, irrigation) changes in rangeland greenness. Future work should verify RCTM-simulated long-term trends in rangeland productivity with ground-truth biomass datasets. It would also be worthwhile to compare RCTM with activity-data driven models, such as DNDC </w:t>
      </w:r>
      <w:r w:rsidRPr="00C1362F">
        <w:rPr>
          <w:rFonts w:eastAsia="Arial"/>
          <w:sz w:val="24"/>
        </w:rPr>
        <w:fldChar w:fldCharType="begin" w:fldLock="1"/>
      </w:r>
      <w:r w:rsidRPr="00C1362F">
        <w:rPr>
          <w:rFonts w:eastAsia="Arial"/>
          <w:sz w:val="24"/>
        </w:rPr>
        <w:instrText>ADDIN CSL_CITATION {"citationItems":[{"id":"ITEM-1","itemData":{"DOI":"10.1029/94GB00767","ISSN":"08866236","author":[{"dropping-particle":"","family":"Li","given":"Changsheng","non-dropping-particle":"","parse-names":false,"suffix":""},{"dropping-particle":"","family":"Frolking","given":"Steve","non-dropping-particle":"","parse-names":false,"suffix":""},{"dropping-particle":"","family":"Harriss","given":"Robert","non-dropping-particle":"","parse-names":false,"suffix":""}],"container-title":"Global Biogeochemical Cycles","id":"ITEM-1","issue":"3","issued":{"date-parts":[["1994","9"]]},"page":"237-254","title":"Modeling carbon biogeochemistry in agricultural soils","type":"article-journal","volume":"8"},"uris":["http://www.mendeley.com/documents/?uuid=f24fc64c-8e7e-4b8f-87e9-7374cd2e01d5"]}],"mendeley":{"formattedCitation":"(C. Li et al., 1994)","manualFormatting":"(Li et al., 1994)","plainTextFormattedCitation":"(C. Li et al., 1994)","previouslyFormattedCitation":"(C. Li et al., 1994)"},"properties":{"noteIndex":0},"schema":"https://github.com/citation-style-language/schema/raw/master/csl-citation.json"}</w:instrText>
      </w:r>
      <w:r w:rsidRPr="00C1362F">
        <w:rPr>
          <w:rFonts w:eastAsia="Arial"/>
          <w:sz w:val="24"/>
        </w:rPr>
        <w:fldChar w:fldCharType="separate"/>
      </w:r>
      <w:r w:rsidRPr="00C1362F">
        <w:rPr>
          <w:rFonts w:eastAsia="Arial"/>
          <w:noProof/>
          <w:sz w:val="24"/>
        </w:rPr>
        <w:t>(Li et al., 1994)</w:t>
      </w:r>
      <w:r w:rsidRPr="00C1362F">
        <w:rPr>
          <w:rFonts w:eastAsia="Arial"/>
          <w:sz w:val="24"/>
        </w:rPr>
        <w:fldChar w:fldCharType="end"/>
      </w:r>
      <w:r w:rsidRPr="00C1362F">
        <w:rPr>
          <w:rFonts w:eastAsia="Arial"/>
          <w:sz w:val="24"/>
        </w:rPr>
        <w:t xml:space="preserve">, DAYCENT </w:t>
      </w:r>
      <w:r w:rsidRPr="00C1362F">
        <w:rPr>
          <w:rFonts w:eastAsia="Arial"/>
          <w:sz w:val="24"/>
        </w:rPr>
        <w:fldChar w:fldCharType="begin" w:fldLock="1"/>
      </w:r>
      <w:r w:rsidRPr="00C1362F">
        <w:rPr>
          <w:rFonts w:eastAsia="Arial"/>
          <w:sz w:val="24"/>
        </w:rPr>
        <w:instrText>ADDIN CSL_CITATION {"citationItems":[{"id":"ITEM-1","itemData":{"DOI":"10.1016/S0921-8181(98)00040-X","ISBN":"0921-8181","ISSN":"09218181","abstract":"A land surface submodel was developed for the dally version of the CENTURY ecosystem model (DAYCENT). The goal of DAYCENT to simulate soil N2O, NO(x), and CH4 fluxes for terrestrial ecosystems determined the structure and processes represented in the land surface model. The land surface model was set up to simulate daily dynamics of soil water and temperature from a multi-layered soil system (0-1, 1-4, 4-15, 15-30 cm, etc.) and included surface runoff and above field capacity soil water dynamics during intense rainfall events and snowmelt into frozen soils. The comparison of the simulated soil water content (0-10 cm) with observed data from four sites was quite favorable (squared correlation coefficient -??2= 0.87, 0.65, 0.86 and 0.58) and the simulated results were comparable for the soil temperature model (r2 = 0.92 and 0.95 for minimum and maximum 10 cm soil temperatures). Detailed soil water and temperature data during snowmelt time periods and following rainfall events are needed to fully evaluate the performance of the water flow model.","author":[{"dropping-particle":"","family":"Parton","given":"William J.","non-dropping-particle":"","parse-names":false,"suffix":""},{"dropping-particle":"","family":"Hartman","given":"Melannie","non-dropping-particle":"","parse-names":false,"suffix":""},{"dropping-particle":"","family":"Ojima","given":"Dennis","non-dropping-particle":"","parse-names":false,"suffix":""},{"dropping-particle":"","family":"Schimel","given":"David","non-dropping-particle":"","parse-names":false,"suffix":""}],"container-title":"Global and Planetary Change","id":"ITEM-1","issue":"1-4","issued":{"date-parts":[["1998"]]},"page":"35-48","publisher":"Elsevier\\","title":"DAYCENT and its land surface submodel: Description and testing","type":"article","volume":"19"},"uris":["http://www.mendeley.com/documents/?uuid=d62e251e-af40-44d6-84bf-69ecb83678d2"]}],"mendeley":{"formattedCitation":"(Parton et al., 1998)","plainTextFormattedCitation":"(Parton et al., 1998)","previouslyFormattedCitation":"(Parton et al., 1998)"},"properties":{"noteIndex":0},"schema":"https://github.com/citation-style-language/schema/raw/master/csl-citation.json"}</w:instrText>
      </w:r>
      <w:r w:rsidRPr="00C1362F">
        <w:rPr>
          <w:rFonts w:eastAsia="Arial"/>
          <w:sz w:val="24"/>
        </w:rPr>
        <w:fldChar w:fldCharType="separate"/>
      </w:r>
      <w:r w:rsidRPr="00C1362F">
        <w:rPr>
          <w:rFonts w:eastAsia="Arial"/>
          <w:noProof/>
          <w:sz w:val="24"/>
        </w:rPr>
        <w:t>(Parton et al., 1998)</w:t>
      </w:r>
      <w:r w:rsidRPr="00C1362F">
        <w:rPr>
          <w:rFonts w:eastAsia="Arial"/>
          <w:sz w:val="24"/>
        </w:rPr>
        <w:fldChar w:fldCharType="end"/>
      </w:r>
      <w:r w:rsidRPr="00C1362F">
        <w:rPr>
          <w:rFonts w:eastAsia="Arial"/>
          <w:sz w:val="24"/>
        </w:rPr>
        <w:t xml:space="preserve">, and MEMS </w:t>
      </w:r>
      <w:r w:rsidRPr="00C1362F">
        <w:rPr>
          <w:rFonts w:eastAsia="Arial"/>
          <w:sz w:val="24"/>
        </w:rPr>
        <w:fldChar w:fldCharType="begin" w:fldLock="1"/>
      </w:r>
      <w:r w:rsidRPr="00C1362F">
        <w:rPr>
          <w:rFonts w:eastAsia="Arial"/>
          <w:sz w:val="24"/>
        </w:rPr>
        <w:instrText>ADDIN CSL_CITATION {"citationItems":[{"id":"ITEM-1","itemData":{"DOI":"10.5194/bg-16-1225-2019","ISSN":"17264189","abstract":"Soil organic matter (SOM) dynamics in ecosystem-scale biogeochemical models have traditionally been simulated as immeasurable fluxes between conceptually defined pools. This greatly limits how empirical data can be used to improve model performance and reduce the uncertainty associated with their predictions of carbon (C) cycling. Recent advances in our understanding of the biogeochemical processes that govern SOM formation and persistence demand a new mathematical model with a structure built around key mechanisms and biogeochemically relevant pools. Here, we present one approach that aims to address this need. Our new model (MEMS v1.0) is developed from the Microbial Efficiency-Matrix Stabilization framework, which emphasizes the importance of linking the chemistry of organic matter inputs with efficiency of microbial processing and ultimately with the soil mineral matrix, when studying SOM formation and stabilization. Building on this framework, MEMS v1.0 is also capable of simulating the concept of C saturation and represents decomposition processes and mechanisms of physico-chemical stabilization to define SOM formation into four primary fractions. After describing the model in detail, we optimize four key parameters identified through a variance-based sensitivity analysis. Optimization employed soil fractionation data from 154 sites with diverse environmental conditions, directly equating mineral-associated organic matter and particulate organic matter fractions with corresponding model pools. Finally, model performance was evaluated using total topsoil (0-20cm) C data from 8192 forest and grassland sites across Europe. Despite the relative simplicity of the model, it was able to accurately capture general trends in soil C stocks across extensive gradients of temperature, precipitation, annual C inputs and soil texture. The novel approach that MEMS v1.0 takes to simulate SOM dynamics has the potential to improve our forecasts of how soils respond to management and environmental perturbation. Ensuring these forecasts are accurate is key to effectively informing policy that can address the sustainability of ecosystem services and help mitigate climate change.","author":[{"dropping-particle":"","family":"Robertson","given":"Andy D.","non-dropping-particle":"","parse-names":false,"suffix":""},{"dropping-particle":"","family":"Paustian","given":"Keith","non-dropping-particle":"","parse-names":false,"suffix":""},{"dropping-particle":"","family":"Ogle","given":"Stephen","non-dropping-particle":"","parse-names":false,"suffix":""},{"dropping-particle":"","family":"Wallenstein","given":"Matthew D.","non-dropping-particle":"","parse-names":false,"suffix":""},{"dropping-particle":"","family":"Lugato","given":"Emanuele","non-dropping-particle":"","parse-names":false,"suffix":""},{"dropping-particle":"","family":"Francesca Cotrufo","given":"M.","non-dropping-particle":"","parse-names":false,"suffix":""}],"container-title":"Biogeosciences","id":"ITEM-1","issue":"6","issued":{"date-parts":[["2019"]]},"page":"1225-1248","title":"Unifying soil organic matter formation and persistence frameworks: The MEMS model","type":"article-journal","volume":"16"},"uris":["http://www.mendeley.com/documents/?uuid=96c38427-3cf0-4d70-a212-ea4cb0fdb9f6"]}],"mendeley":{"formattedCitation":"(Robertson et al., 2019)","plainTextFormattedCitation":"(Robertson et al., 2019)","previouslyFormattedCitation":"(Robertson et al., 2019)"},"properties":{"noteIndex":0},"schema":"https://github.com/citation-style-language/schema/raw/master/csl-citation.json"}</w:instrText>
      </w:r>
      <w:r w:rsidRPr="00C1362F">
        <w:rPr>
          <w:rFonts w:eastAsia="Arial"/>
          <w:sz w:val="24"/>
        </w:rPr>
        <w:fldChar w:fldCharType="separate"/>
      </w:r>
      <w:r w:rsidRPr="00C1362F">
        <w:rPr>
          <w:rFonts w:eastAsia="Arial"/>
          <w:noProof/>
          <w:sz w:val="24"/>
        </w:rPr>
        <w:t>(Robertson et al., 2019)</w:t>
      </w:r>
      <w:r w:rsidRPr="00C1362F">
        <w:rPr>
          <w:rFonts w:eastAsia="Arial"/>
          <w:sz w:val="24"/>
        </w:rPr>
        <w:fldChar w:fldCharType="end"/>
      </w:r>
      <w:r w:rsidRPr="00C1362F">
        <w:rPr>
          <w:rFonts w:eastAsia="Arial"/>
          <w:sz w:val="24"/>
        </w:rPr>
        <w:t xml:space="preserve"> to assess their accuracy and uncertainty in predicting the spatial and temporal C dynamics. Moreover, our modeling results found that RCTM had larger modeling bias for </w:t>
      </w:r>
      <w:r w:rsidRPr="00C1362F">
        <w:rPr>
          <w:rFonts w:eastAsia="SimSun"/>
          <w:bCs/>
          <w:sz w:val="24"/>
          <w:szCs w:val="24"/>
        </w:rPr>
        <w:t>grass-tree mixture</w:t>
      </w:r>
      <w:r w:rsidRPr="00C1362F">
        <w:rPr>
          <w:rFonts w:eastAsia="Arial"/>
          <w:sz w:val="24"/>
        </w:rPr>
        <w:t xml:space="preserve"> sites (Fig. 3), which might be associated with signal saturation in RS data caused by dense vegetation </w:t>
      </w:r>
      <w:r w:rsidRPr="00C1362F">
        <w:rPr>
          <w:rFonts w:eastAsia="Arial"/>
          <w:sz w:val="24"/>
        </w:rPr>
        <w:fldChar w:fldCharType="begin" w:fldLock="1"/>
      </w:r>
      <w:r w:rsidRPr="00C1362F">
        <w:rPr>
          <w:rFonts w:eastAsia="Arial"/>
          <w:sz w:val="24"/>
        </w:rPr>
        <w:instrText>ADDIN CSL_CITATION {"citationItems":[{"id":"ITEM-1","itemData":{"DOI":"10.1016/j.isprsjprs.2014.08.014","ISSN":"09242716","abstract":"Spatially explicit knowledge of aboveground biomass (AGB) in large areas is important for accurate carbon accounting. Landsat data have been widely used to provide efficient and timely estimates of forest AGB because of their long archive and relatively high spatial resolution. Previous studies have explored different empirical modeling approaches to estimate AGB, but most of them only used a single Landsat image in the peak season, which may cause a saturation problem and low accuracy. To improve the accuracy of AGB estimation using Landsat images, this study explored the use of NDVI seasonal time-series derived from Landsat images across different seasons to estimate AGB in southeast Ohio by six empirical modeling approaches. Results clearly show that NDVI in the fall season has a stronger correlation to AGB than in the peak season, and using seasonal NDVI time-series can result in a more accurate AGB estimation and less saturation than using a single NDVI. In comparing these different empirical approaches, it is difficult to decide which one is superior to the other because they have different strengths and their accuracy is generally similar, indicating that modeling methods may not be the key issue for improving the accuracy of AGB estimation from Landsat data. This study suggests that future research should pay more attention to seasonal time-series data, and especially the data from the fall season.","author":[{"dropping-particle":"","family":"Zhu","given":"Xiaolin","non-dropping-particle":"","parse-names":false,"suffix":""},{"dropping-particle":"","family":"Liu","given":"Desheng","non-dropping-particle":"","parse-names":false,"suffix":""}],"container-title":"ISPRS Journal of Photogrammetry and Remote Sensing","id":"ITEM-1","issued":{"date-parts":[["2015"]]},"page":"222-231","title":"Improving forest aboveground biomass estimation using seasonal Landsat NDVI time-series","type":"article-journal","volume":"102"},"uris":["http://www.mendeley.com/documents/?uuid=d162f2d1-deb5-45e6-a753-0a4e95baddd4"]},{"id":"ITEM-2","itemData":{"DOI":"10.1016/0034-4257(88)90043-0","ISSN":"00344257","abstract":"An atmospheric radiant transfer model was used to compare ground-measured radiances over partially vegetated canopies with their simulated responses at the top of a clear (100 km meteorological range) and a turbid (10 km) atmosphere. Radiance measurements in the first four bands of the Thematic Mapper were taken over incomplete cotton (Gossypium hirsutum L.) and Lehmann lovegrass (Eragrostis lehmanniana Nees) canopies with different soil backgrounds separately inserted underneath. Atmospheric influences on the spectra of partial canopies were found to be significantly dependent on the \"brightness\" of the underlying soil. The change in canopy red and near-infrared radiance between the ground and the top of the atmosphere was such that an increase, decrease, or no change could be observed, depending on the magnitude of the canopy substrate contribution. Both increasing soil \"brightness\" and atmospheric turbidity lowered the ratio (RVI) and normalized difference vegetation index values (NDVI). Consequently, atmospheric-induced RVI and NDVI degradation were greatest over canopies with darker soils and were not detectable over canopies with light-colored soils. In contrast, soil and atmospheric effects on the perpendicular vegetation index were independent with atmosphere degradation being similar across all soil backgrounds. Soil influences on vegetation indices from partial canopies were found to be of similar magnitude to those attributed to the atmosphere for the range of soil and atmosphere conditions examined here. © 1988.","author":[{"dropping-particle":"","family":"Huete","given":"A. R.","non-dropping-particle":"","parse-names":false,"suffix":""},{"dropping-particle":"","family":"Jackson","given":"R. D.","non-dropping-particle":"","parse-names":false,"suffix":""}],"container-title":"Remote Sensing of Environment","id":"ITEM-2","issue":"1","issued":{"date-parts":[["1988"]]},"page":"89-105","title":"Soil and atmosphere influences on the spectra of partial canopies","type":"article-journal","volume":"25"},"uris":["http://www.mendeley.com/documents/?uuid=04f32505-1e54-45a5-9b74-1e211abedd37"]}],"mendeley":{"formattedCitation":"(Huete &amp; Jackson, 1988; Xiaolin Zhu &amp; Liu, 2015)","manualFormatting":"(Huete &amp; Jackson, 1988; Zhu &amp; Liu, 2015)","plainTextFormattedCitation":"(Huete &amp; Jackson, 1988; Xiaolin Zhu &amp; Liu, 2015)","previouslyFormattedCitation":"(Huete &amp; Jackson, 1988; Xiaolin Zhu &amp; Liu, 2015)"},"properties":{"noteIndex":0},"schema":"https://github.com/citation-style-language/schema/raw/master/csl-citation.json"}</w:instrText>
      </w:r>
      <w:r w:rsidRPr="00C1362F">
        <w:rPr>
          <w:rFonts w:eastAsia="Arial"/>
          <w:sz w:val="24"/>
        </w:rPr>
        <w:fldChar w:fldCharType="separate"/>
      </w:r>
      <w:r w:rsidRPr="00C1362F">
        <w:rPr>
          <w:rFonts w:eastAsia="Arial"/>
          <w:noProof/>
          <w:sz w:val="24"/>
        </w:rPr>
        <w:t>(Huete &amp; Jackson, 1988; Zhu &amp; Liu, 2015)</w:t>
      </w:r>
      <w:r w:rsidRPr="00C1362F">
        <w:rPr>
          <w:rFonts w:eastAsia="Arial"/>
          <w:sz w:val="24"/>
        </w:rPr>
        <w:fldChar w:fldCharType="end"/>
      </w:r>
      <w:r w:rsidRPr="00C1362F">
        <w:rPr>
          <w:rFonts w:eastAsia="Arial"/>
          <w:sz w:val="24"/>
        </w:rPr>
        <w:t>. The use of saturation</w:t>
      </w:r>
      <w:r>
        <w:rPr>
          <w:rFonts w:eastAsia="Arial"/>
          <w:sz w:val="24"/>
        </w:rPr>
        <w:t xml:space="preserve"> or cloud</w:t>
      </w:r>
      <w:r w:rsidRPr="00C1362F">
        <w:rPr>
          <w:rFonts w:eastAsia="Arial"/>
          <w:sz w:val="24"/>
        </w:rPr>
        <w:t xml:space="preserve">-adjusted </w:t>
      </w:r>
      <w:r>
        <w:rPr>
          <w:rFonts w:eastAsia="Arial"/>
          <w:sz w:val="24"/>
        </w:rPr>
        <w:t>indices, as well as</w:t>
      </w:r>
      <w:r w:rsidRPr="00C1362F">
        <w:rPr>
          <w:rFonts w:eastAsia="Arial"/>
          <w:sz w:val="24"/>
        </w:rPr>
        <w:t xml:space="preserve"> a combination of vegetation indices may be necessary to improve the accuracy of </w:t>
      </w:r>
      <w:r w:rsidRPr="00C1362F">
        <w:rPr>
          <w:rFonts w:eastAsia="SimSun"/>
          <w:bCs/>
          <w:sz w:val="24"/>
          <w:szCs w:val="24"/>
        </w:rPr>
        <w:t>grass-tree mixture class-based</w:t>
      </w:r>
      <w:r w:rsidRPr="00C1362F">
        <w:rPr>
          <w:rFonts w:eastAsia="Arial"/>
          <w:sz w:val="24"/>
        </w:rPr>
        <w:t xml:space="preserve"> modeling </w:t>
      </w:r>
      <w:r w:rsidRPr="00C1362F">
        <w:rPr>
          <w:rFonts w:eastAsia="Arial"/>
          <w:sz w:val="24"/>
        </w:rPr>
        <w:fldChar w:fldCharType="begin" w:fldLock="1"/>
      </w:r>
      <w:r>
        <w:rPr>
          <w:rFonts w:eastAsia="Arial"/>
          <w:sz w:val="24"/>
        </w:rPr>
        <w:instrText>ADDIN CSL_CITATION {"citationItems":[{"id":"ITEM-1","itemData":{"DOI":"10.1016/j.rse.2011.12.004","ISSN":"00344257","abstract":"Tree canopy cover is a major biophysical attribute of dryland ecosystems. Monitoring its long-term changes over large spatial extents is critical for understanding woody vegetation response to climate variability and global change. However, quantifying tree canopy cover with remotely sensed data remains a challenge for dryland ecosystems where vegetation is sparse and trees, shrubs, and grasses often co-exist at fine spatial scales. In this study, we developed a full SMA (spectral mixture analysis) method that regressed photosynthetic vegetation (PV), non-photosynthetic vegetation (NPV), and shade components of the SMA with dryland tree cover to monitor tree cover dynamics on a pinyon-juniper woodland landscape in Nevada, USA using Landsat TM data. We assessed 1) how well this method could estimate tree cover in both disturbed (chained and burned) and non-disturbed woodland patches and 2) how sensitive this method was to the confounding effects of climatic variations. The assessment was conducted in comparison with two other more commonly used methods that regressed NDVI or PV with tree cover. Our results showed that although PV performed better than NDVI, both methods overestimated tree canopy cover within recently disturbed woodland patches where the confounding effects of shrubs on greenness index were higher than in non-disturbed patches. The full SMA efficiently quantified variations within post-chaining patches in addition to non-disturbed patches, but overestimated tree cover within burned patches. Of the three methods tested, only full SMA showed promising capability for mitigating the confounding effects of interannual climatic variations on monitoring the woodland recovery process. Our results are generalizable to other semi-arid landscapes comprising a mosaic of small-statured trees intermixed with shrub steppe vegetation. © 2011 Elsevier Inc.","author":[{"dropping-particle":"","family":"Yang","given":"Jian","non-dropping-particle":"","parse-names":false,"suffix":""},{"dropping-particle":"","family":"Weisberg","given":"Peter J.","non-dropping-particle":"","parse-names":false,"suffix":""},{"dropping-particle":"","family":"Bristow","given":"Nathan A.","non-dropping-particle":"","parse-names":false,"suffix":""}],"container-title":"Remote Sensing of Environment","id":"ITEM-1","issued":{"date-parts":[["2012"]]},"page":"62-71","title":"Landsat remote sensing approaches for monitoring long-term tree cover dynamics in semi-arid woodlands: Comparison of vegetation indices and spectral mixture analysis","type":"article-journal","volume":"119"},"uris":["http://www.mendeley.com/documents/?uuid=b604ca78-bcb6-4cc6-96ae-253ea3c08d0c"]},{"id":"ITEM-2","itemData":{"DOI":"10.1016/j.ecolind.2013.01.041","ISSN":"1470160X","abstract":"In this study, we developed a new approach that adjusted normalized difference vegetation index (NDVI) pixel values that were near saturation to better characterize the cropland performance (CP) in the Greater Platte River Basin (GPRB), USA. The relationship between NDVI and the ratio vegetation index (RVI) at high NDVI values was investigated, and an empirical equation for estimating saturation-adjusted NDVI (NDVIsatadjust) based on RVI was developed. A 10-year (2000-2009) NDVIsat-adjust data set was developed using 250-m 7-day composite historical eMODIS (expedited Moderate Resolution Imaging Spectroradiometer) NDVI data. The growing season averaged NDVI (GSN), which is a proxy for ecosystem performance, was estimated and long-term NDVI non-saturation- and saturation-adjusted cropland performance (CPnon-sat-adjust, CPsat- adjust) maps were produced over the GPRB. The final CP maps were validated using National Agricultural Statistics Service (NASS) crop yield data. The relationship between CPsat-adjust and the NASS average corn yield data (r = 0.78, 113 samples) is stronger than the relationship between CPnon-sat-adjust and the NASS average corn yield data (r = 0.67, 113 samples), indicating that the new CPsat-adjust map reduces the NDVI saturation effects and is in good agreement with the corn yield ground observations. Results demonstrate that the NDVI saturation adjustment approach improves the quality of the original GSN map and better depicts the actual vegetation conditions of the GPRB cropland systems. © 2013 Elsevier Ltd.","author":[{"dropping-particle":"","family":"Gu","given":"Yingxin","non-dropping-particle":"","parse-names":false,"suffix":""},{"dropping-particle":"","family":"Wylie","given":"Bruce K.","non-dropping-particle":"","parse-names":false,"suffix":""},{"dropping-particle":"","family":"Howard","given":"Daniel M.","non-dropping-particle":"","parse-names":false,"suffix":""},{"dropping-particle":"","family":"Phuyal","given":"Khem P.","non-dropping-particle":"","parse-names":false,"suffix":""},{"dropping-particle":"","family":"Ji","given":"Lei","non-dropping-particle":"","parse-names":false,"suffix":""}],"container-title":"Ecological Indicators","id":"ITEM-2","issued":{"date-parts":[["2013"]]},"page":"1-6","title":"NDVI saturation adjustment: A new approach for improving cropland performance estimates in the Greater Platte River Basin, USA","type":"article-journal","volume":"30"},"uris":["http://www.mendeley.com/documents/?uuid=5764ca89-03ba-422b-a5f1-e3a3f6c96555"]},{"id":"ITEM-3","itemData":{"DOI":"10.1111/gcb.14729","ISSN":"13652486","PMID":"31199543","abstract":"Terrestrial photosynthesis is the largest and one of the most uncertain fluxes in the global carbon cycle. We find that near-infrared reflectance of vegetation (NIRV), a remotely sensed measure of canopy structure, accurately predicts photosynthesis at FLUXNET validation sites at monthly to annual timescales (R2 = 0.68), without the need for difficult to acquire information about environmental factors that constrain photosynthesis at short timescales. Scaling the relationship between gross primary production (GPP) and NIRV from FLUXNET eddy covariance sites, we estimate global annual terrestrial photosynthesis to be 147 Pg C/year (95% credible interval 131–163 Pg C/year), which falls between bottom-up GPP estimates and the top-down global constraint on GPP from oxygen isotopes. NIRV-derived estimates of GPP are systematically higher than existing bottom-up estimates, especially throughout the midlatitudes. Progress in improving estimated GPP from NIRV can come from improved cloud screening in satellite data and increased resolution of vegetation characteristics, especially details about plant photosynthetic pathway.","author":[{"dropping-particle":"","family":"Badgley","given":"Grayson","non-dropping-particle":"","parse-names":false,"suffix":""},{"dropping-particle":"","family":"Anderegg","given":"Leander D.L.","non-dropping-particle":"","parse-names":false,"suffix":""},{"dropping-particle":"","family":"Berry","given":"Joseph A.","non-dropping-particle":"","parse-names":false,"suffix":""},{"dropping-particle":"","family":"Field","given":"Christopher B.","non-dropping-particle":"","parse-names":false,"suffix":""}],"container-title":"Global Change Biology","id":"ITEM-3","issue":"11","issued":{"date-parts":[["2019"]]},"page":"3731-3740","title":"Terrestrial gross primary production: Using NIR&lt;sub&gt;V&lt;/sub&gt; to scale from site to globe","type":"article-journal","volume":"25"},"uris":["http://www.mendeley.com/documents/?uuid=c8dc6d6f-bf34-4483-bef9-5305562d9f3a"]}],"mendeley":{"formattedCitation":"(Badgley et al., 2019; Gu et al., 2013; Yang et al., 2012)","plainTextFormattedCitation":"(Badgley et al., 2019; Gu et al., 2013; Yang et al., 2012)","previouslyFormattedCitation":"(Badgley et al., 2019; Gu et al., 2013; Yang et al., 2012)"},"properties":{"noteIndex":0},"schema":"https://github.com/citation-style-language/schema/raw/master/csl-citation.json"}</w:instrText>
      </w:r>
      <w:r w:rsidRPr="00C1362F">
        <w:rPr>
          <w:rFonts w:eastAsia="Arial"/>
          <w:sz w:val="24"/>
        </w:rPr>
        <w:fldChar w:fldCharType="separate"/>
      </w:r>
      <w:r w:rsidRPr="00DB41C1">
        <w:rPr>
          <w:rFonts w:eastAsia="Arial"/>
          <w:noProof/>
          <w:sz w:val="24"/>
        </w:rPr>
        <w:t>(Badgley et al., 2019; Gu et al., 2013; Yang et al., 2012)</w:t>
      </w:r>
      <w:r w:rsidRPr="00C1362F">
        <w:rPr>
          <w:rFonts w:eastAsia="Arial"/>
          <w:sz w:val="24"/>
        </w:rPr>
        <w:fldChar w:fldCharType="end"/>
      </w:r>
      <w:r w:rsidRPr="00C1362F">
        <w:rPr>
          <w:rFonts w:eastAsia="Arial"/>
          <w:sz w:val="24"/>
        </w:rPr>
        <w:t xml:space="preserve">. </w:t>
      </w:r>
      <w:r>
        <w:rPr>
          <w:rFonts w:eastAsia="Arial"/>
          <w:sz w:val="24"/>
        </w:rPr>
        <w:t>Also</w:t>
      </w:r>
      <w:r w:rsidRPr="00C1362F">
        <w:rPr>
          <w:rFonts w:eastAsia="Arial"/>
          <w:sz w:val="24"/>
        </w:rPr>
        <w:t xml:space="preserve"> tied to RS inputs</w:t>
      </w:r>
      <w:r>
        <w:rPr>
          <w:rFonts w:eastAsia="Arial"/>
          <w:sz w:val="24"/>
        </w:rPr>
        <w:t xml:space="preserve">, </w:t>
      </w:r>
      <w:r w:rsidRPr="00C1362F">
        <w:rPr>
          <w:rFonts w:eastAsia="Arial"/>
          <w:sz w:val="24"/>
        </w:rPr>
        <w:t>the relatively lower model fit observed in the estimation of winter GPP and NEE (Fig. 4</w:t>
      </w:r>
      <w:r w:rsidR="008A5615">
        <w:rPr>
          <w:rFonts w:eastAsia="Arial"/>
          <w:sz w:val="24"/>
        </w:rPr>
        <w:t>a</w:t>
      </w:r>
      <w:r>
        <w:rPr>
          <w:rFonts w:eastAsia="Arial"/>
          <w:sz w:val="24"/>
        </w:rPr>
        <w:t xml:space="preserve"> and </w:t>
      </w:r>
      <w:r w:rsidR="008A5615">
        <w:rPr>
          <w:rFonts w:eastAsia="Arial"/>
          <w:sz w:val="24"/>
        </w:rPr>
        <w:t>b</w:t>
      </w:r>
      <w:r w:rsidRPr="00C1362F">
        <w:rPr>
          <w:rFonts w:eastAsia="Arial"/>
          <w:sz w:val="24"/>
        </w:rPr>
        <w:t>)</w:t>
      </w:r>
      <w:r>
        <w:rPr>
          <w:rFonts w:eastAsia="Arial"/>
          <w:sz w:val="24"/>
        </w:rPr>
        <w:t xml:space="preserve"> might be explained by the fact that the </w:t>
      </w:r>
      <w:r w:rsidRPr="00C1362F">
        <w:rPr>
          <w:rFonts w:eastAsia="Arial"/>
          <w:sz w:val="24"/>
        </w:rPr>
        <w:t xml:space="preserve">STARFM fusion method </w:t>
      </w:r>
      <w:r>
        <w:rPr>
          <w:rFonts w:eastAsia="Arial"/>
          <w:sz w:val="24"/>
        </w:rPr>
        <w:t>is</w:t>
      </w:r>
      <w:r w:rsidRPr="00C1362F">
        <w:rPr>
          <w:rFonts w:eastAsia="Arial"/>
          <w:sz w:val="24"/>
        </w:rPr>
        <w:t xml:space="preserve"> constrained by a reduced number of Landsat and MODIS images and pixels passing the QC criteria during the winter periods. This underscores the need to better account for snow cover effects and implement noise-reduction techniques in the case of missing data </w:t>
      </w:r>
      <w:r w:rsidRPr="00C1362F">
        <w:rPr>
          <w:rFonts w:eastAsia="Arial"/>
          <w:sz w:val="24"/>
        </w:rPr>
        <w:fldChar w:fldCharType="begin" w:fldLock="1"/>
      </w:r>
      <w:r w:rsidRPr="00C1362F">
        <w:rPr>
          <w:rFonts w:eastAsia="Arial"/>
          <w:sz w:val="24"/>
        </w:rPr>
        <w:instrText>ADDIN CSL_CITATION {"citationItems":[{"id":"ITEM-1","itemData":{"DOI":"10.1016/j.scitotenv.2020.144011","ISSN":"18791026","PMID":"33316646","abstract":"The Tibetan Plateau is the highest and largest plateau in the world, hosting unique alpine grassland and having a much higher snow cover than any other region at the same latitude, thus representing a “climate change hot-spot”. Land surface phenology characterizes the timing of vegetation seasonality at the per-pixel level using remote sensing systems. The impact of seasonal snow cover variations on land surface phenology has drawn much attention; however, there is still no consensus on how the remote sensing estimated start of season (SOS) is biased by the presence of preseason snow cover. Here, we analyzed SOS assessments from time series of satellite derived vegetation indices and solar-induced chlorophyll fluorescence (SIF) during 2003–2016 for the Tibetan Plateau. We evaluated satellite-based SOS with field observations and gross primary production (GPP) from eddy covariance for both snow-free and snow covered sites. SOS derived from SIF was highly correlated with field data (R2 = 0.83) and also the normalized difference phenology index (NDPI) performed well for both snow free (R2 = 0.77) and snow covered sites (R2 = 0.73). On the contrary, normalized difference vegetation index (NDVI) correlates only weakly with field data (R2 = 0.35 for snow free and R2 = 0.15 for snow covered sites). We further found that an earlier end of the snow season caused an earlier estimate of SOS for the Tibetan Plateau from NDVI as compared to NDPI. Our research therefore adds new evidence to the ongoing debate supporting the view that the claimed advance in land surface SOS over the Tibetan Plateau is an artifact from snow cover changes. These findings improve our understanding of the impact of snow on land surface phenology in alpine ecosystems, which can further improve remote sensing based land surface phenology assessments in snow-influenced ecosystems.","author":[{"dropping-particle":"","family":"Huang","given":"Ke","non-dropping-particle":"","parse-names":false,"suffix":""},{"dropping-particle":"","family":"Zhang","given":"Yangjian","non-dropping-particle":"","parse-names":false,"suffix":""},{"dropping-particle":"","family":"Tagesson","given":"Torbern","non-dropping-particle":"","parse-names":false,"suffix":""},{"dropping-particle":"","family":"Brandt","given":"Martin","non-dropping-particle":"","parse-names":false,"suffix":""},{"dropping-particle":"","family":"Wang","given":"Lanhui","non-dropping-particle":"","parse-names":false,"suffix":""},{"dropping-particle":"","family":"Chen","given":"Ning","non-dropping-particle":"","parse-names":false,"suffix":""},{"dropping-particle":"","family":"Zu","given":"Jiaxing","non-dropping-particle":"","parse-names":false,"suffix":""},{"dropping-particle":"","family":"Jin","given":"Hongxiao","non-dropping-particle":"","parse-names":false,"suffix":""},{"dropping-particle":"","family":"Cai","given":"Zhanzhang","non-dropping-particle":"","parse-names":false,"suffix":""},{"dropping-particle":"","family":"Tong","given":"Xiaowei","non-dropping-particle":"","parse-names":false,"suffix":""},{"dropping-particle":"","family":"Cong","given":"Nan","non-dropping-particle":"","parse-names":false,"suffix":""},{"dropping-particle":"","family":"Fensholt","given":"Rasmus","non-dropping-particle":"","parse-names":false,"suffix":""}],"container-title":"Science of the Total Environment","id":"ITEM-1","issued":{"date-parts":[["2021"]]},"page":"e144011","title":"The confounding effect of snow cover on assessing spring phenology from space: A new look at trends on the Tibetan Plateau","type":"article-journal","volume":"756"},"uris":["http://www.mendeley.com/documents/?uuid=8a8d0b3e-cfec-4735-bd58-33cad1015a21"]},{"id":"ITEM-2","itemData":{"DOI":"10.1016/j.rse.2018.08.022","ISSN":"00344257","abstract":"High-quality Normalized Difference Vegetation Index (NDVI) time-series data are important for many regional and global ecological and environmental applications. Unfortunately, residual noise in current NDVI time-series products greatly hinders their further applications. Several noise-reduction methods have been proposed during the past two decades, but two important issues remain to be resolved. First, the methods usually perform poorly for cases of continuous missing data in the NDVI time series. Second, they generally assume negatively biased noise in the NDVI time series and thus erroneously raise some local low NDVI values in certain cases (e.g., the harvest period for multi-season crops).We therefore developed a new noise-reduction algorithm called the Spatial-Temporal Savitzky-Golay (STSG) method. The new method assumes discontinuous clouds in space and employs neighboring pixels to assist in the noise reduction of the target pixel in a particular year. The relationship between the NDVI of neighboring pixels and that of the target pixel was obtained from multi-year NDVI time series thanks to the accumulation of NDVI data over many years, which would have been impossible a decade ago. We tested STSG on 16-day composite MODIS NDVI time-series data from 2001 to 2016 in regions of mainland China and 11 phenology camera sites in North American. The results showed that STSG performed significantly better compared with four previous widely used methods (i.e., the Asymmetric Gaussian, Double Logistic, Fourier-based, and Savitzky-Golay filter methods). One obvious advantage was that STSG was able to address the problem of temporally continuous NDVI gaps. STSG effectively increased local low NDVI values and simultaneously avoided overcorrecting low NDVI values during the crop harvest period. In addition, implementing STSG required only raw MODIS NDVI time-series products without any additional burden of data requirements. All of these advantages make STSG a promising noise-reduction method for generating high-quality NDVI time-series data.","author":[{"dropping-particle":"","family":"Cao","given":"Ruyin","non-dropping-particle":"","parse-names":false,"suffix":""},{"dropping-particle":"","family":"Chen","given":"Yang","non-dropping-particle":"","parse-names":false,"suffix":""},{"dropping-particle":"","family":"Shen","given":"Miaogen","non-dropping-particle":"","parse-names":false,"suffix":""},{"dropping-particle":"","family":"Chen","given":"Jin","non-dropping-particle":"","parse-names":false,"suffix":""},{"dropping-particle":"","family":"Zhou","given":"Ji","non-dropping-particle":"","parse-names":false,"suffix":""},{"dropping-particle":"","family":"Wang","given":"Cong","non-dropping-particle":"","parse-names":false,"suffix":""},{"dropping-particle":"","family":"Yang","given":"Wei","non-dropping-particle":"","parse-names":false,"suffix":""}],"container-title":"Remote Sensing of Environment","id":"ITEM-2","issued":{"date-parts":[["2018"]]},"page":"244-257","title":"A simple method to improve the quality of NDVI time-series data by integrating spatiotemporal information with the Savitzky-Golay filter","type":"article-journal","volume":"217"},"uris":["http://www.mendeley.com/documents/?uuid=143d41fd-7bc4-4a05-afef-56383cec162a"]}],"mendeley":{"formattedCitation":"(Cao et al., 2018; Huang et al., 2021)","plainTextFormattedCitation":"(Cao et al., 2018; Huang et al., 2021)","previouslyFormattedCitation":"(Cao et al., 2018; Huang et al., 2021)"},"properties":{"noteIndex":0},"schema":"https://github.com/citation-style-language/schema/raw/master/csl-citation.json"}</w:instrText>
      </w:r>
      <w:r w:rsidRPr="00C1362F">
        <w:rPr>
          <w:rFonts w:eastAsia="Arial"/>
          <w:sz w:val="24"/>
        </w:rPr>
        <w:fldChar w:fldCharType="separate"/>
      </w:r>
      <w:r w:rsidRPr="00C1362F">
        <w:rPr>
          <w:rFonts w:eastAsia="Arial"/>
          <w:noProof/>
          <w:sz w:val="24"/>
        </w:rPr>
        <w:t>(Cao et al., 2018; Huang et al., 2021)</w:t>
      </w:r>
      <w:r w:rsidRPr="00C1362F">
        <w:rPr>
          <w:rFonts w:eastAsia="Arial"/>
          <w:sz w:val="24"/>
        </w:rPr>
        <w:fldChar w:fldCharType="end"/>
      </w:r>
      <w:r w:rsidRPr="00C1362F">
        <w:rPr>
          <w:rFonts w:eastAsia="Arial"/>
          <w:sz w:val="24"/>
        </w:rPr>
        <w:t xml:space="preserve">. Furthermore, the modeling bias for estimating NEE (Fig. 5) and SOC (Fig. 6) is significant, as reflected by the deviation of measured versus modeled values from the 1:1 line. </w:t>
      </w:r>
      <w:r w:rsidRPr="00C1362F">
        <w:rPr>
          <w:rFonts w:eastAsia="Arial"/>
          <w:sz w:val="24"/>
        </w:rPr>
        <w:lastRenderedPageBreak/>
        <w:t xml:space="preserve">This can lead to less accurate predictions, particularly at the lower and higher ends, pointing to the need for further model parameterization and evaluation using datasets covering a wider range. </w:t>
      </w:r>
    </w:p>
    <w:p w14:paraId="20EF80E6" w14:textId="77777777" w:rsidR="00E77D36" w:rsidRPr="00C1362F" w:rsidRDefault="00E77D36" w:rsidP="008A5615">
      <w:pPr>
        <w:spacing w:before="120"/>
        <w:ind w:firstLine="720"/>
        <w:jc w:val="both"/>
        <w:rPr>
          <w:rFonts w:eastAsia="Arial"/>
          <w:sz w:val="24"/>
        </w:rPr>
      </w:pPr>
      <w:r>
        <w:rPr>
          <w:rFonts w:eastAsia="Times New Roman"/>
          <w:sz w:val="24"/>
          <w:szCs w:val="24"/>
        </w:rPr>
        <w:t>There are several improvements that we believe can further increase</w:t>
      </w:r>
      <w:r w:rsidRPr="00C1362F">
        <w:rPr>
          <w:rFonts w:eastAsia="Arial"/>
          <w:sz w:val="24"/>
        </w:rPr>
        <w:t xml:space="preserve"> the accuracy and applicability of RCTM</w:t>
      </w:r>
      <w:r>
        <w:rPr>
          <w:rFonts w:eastAsia="Arial"/>
          <w:sz w:val="24"/>
        </w:rPr>
        <w:t>. First, m</w:t>
      </w:r>
      <w:r w:rsidRPr="00C1362F">
        <w:rPr>
          <w:rFonts w:eastAsia="Arial"/>
          <w:sz w:val="24"/>
        </w:rPr>
        <w:t xml:space="preserve">ore accurate </w:t>
      </w:r>
      <w:r>
        <w:rPr>
          <w:rFonts w:eastAsia="Arial"/>
          <w:sz w:val="24"/>
        </w:rPr>
        <w:t>model input and parameter</w:t>
      </w:r>
      <w:r w:rsidRPr="00C1362F">
        <w:rPr>
          <w:rFonts w:eastAsia="Arial"/>
          <w:sz w:val="24"/>
        </w:rPr>
        <w:t xml:space="preserve"> estimates</w:t>
      </w:r>
      <w:r>
        <w:rPr>
          <w:rFonts w:eastAsia="Arial"/>
          <w:sz w:val="24"/>
        </w:rPr>
        <w:t>, such as footprints</w:t>
      </w:r>
      <w:r w:rsidRPr="00C1362F">
        <w:rPr>
          <w:rFonts w:eastAsia="Arial"/>
          <w:sz w:val="24"/>
        </w:rPr>
        <w:t xml:space="preserve"> calculated by </w:t>
      </w:r>
      <w:r w:rsidRPr="00C1362F">
        <w:rPr>
          <w:rFonts w:eastAsia="Arial"/>
          <w:sz w:val="24"/>
        </w:rPr>
        <w:fldChar w:fldCharType="begin" w:fldLock="1"/>
      </w:r>
      <w:r w:rsidRPr="00C1362F">
        <w:rPr>
          <w:rFonts w:eastAsia="Arial"/>
          <w:sz w:val="24"/>
        </w:rPr>
        <w:instrText>ADDIN CSL_CITATION {"citationItems":[{"id":"ITEM-1","itemData":{"DOI":"10.1016/j.agrformet.2021.108350","ISSN":"01681923","author":[{"dropping-particle":"","family":"Chu","given":"Housen","non-dropping-particle":"","parse-names":false,"suffix":""},{"dropping-particle":"","family":"Luo","given":"Xiangzhong","non-dropping-particle":"","parse-names":false,"suffix":""},{"dropping-particle":"","family":"Ouyang","given":"Zutao","non-dropping-particle":"","parse-names":false,"suffix":""},{"dropping-particle":"","family":"Chan","given":"W. Stephen","non-dropping-particle":"","parse-names":false,"suffix":""},{"dropping-particle":"","family":"Dengel","given":"Sigrid","non-dropping-particle":"","parse-names":false,"suffix":""},{"dropping-particle":"","family":"Biraud","given":"Sébastien C.","non-dropping-particle":"","parse-names":false,"suffix":""},{"dropping-particle":"","family":"Torn","given":"Margaret S.","non-dropping-particle":"","parse-names":false,"suffix":""},{"dropping-particle":"","family":"Metzger","given":"Stefan","non-dropping-particle":"","parse-names":false,"suffix":""},{"dropping-particle":"","family":"Kumar","given":"Jitendra","non-dropping-particle":"","parse-names":false,"suffix":""},{"dropping-particle":"","family":"Arain","given":"M. Altaf","non-dropping-particle":"","parse-names":false,"suffix":""},{"dropping-particle":"","family":"Arkebauer","given":"Tim J.","non-dropping-particle":"","parse-names":false,"suffix":""},{"dropping-particle":"","family":"Baldocchi","given":"Dennis","non-dropping-particle":"","parse-names":false,"suffix":""},{"dropping-particle":"","family":"Bernacchi","given":"Carl","non-dropping-particle":"","parse-names":false,"suffix":""},{"dropping-particle":"","family":"Billesbach","given":"Dave","non-dropping-particle":"","parse-names":false,"suffix":""},{"dropping-particle":"","family":"Black","given":"T. Andrew","non-dropping-particle":"","parse-names":false,"suffix":""},{"dropping-particle":"","family":"Blanken","given":"Peter D.","non-dropping-particle":"","parse-names":false,"suffix":""},{"dropping-particle":"","family":"Bohrer","given":"Gil","non-dropping-particle":"","parse-names":false,"suffix":""},{"dropping-particle":"","family":"Bracho","given":"Rosvel","non-dropping-particle":"","parse-names":false,"suffix":""},{"dropping-particle":"","family":"Brown","given":"Shannon","non-dropping-particle":"","parse-names":false,"suffix":""},{"dropping-particle":"","family":"Brunsell","given":"Nathaniel A.","non-dropping-particle":"","parse-names":false,"suffix":""},{"dropping-particle":"","family":"Chen","given":"Jiquan","non-dropping-particle":"","parse-names":false,"suffix":""},{"dropping-particle":"","family":"Chen","given":"Xingyuan","non-dropping-particle":"","parse-names":false,"suffix":""},{"dropping-particle":"","family":"Clark","given":"Kenneth","non-dropping-particle":"","parse-names":false,"suffix":""},{"dropping-particle":"","family":"Desai","given":"Ankur R.","non-dropping-particle":"","parse-names":false,"suffix":""},{"dropping-particle":"","family":"Duman","given":"Tomer","non-dropping-particle":"","parse-names":false,"suffix":""},{"dropping-particle":"","family":"Durden","given":"David","non-dropping-particle":"","parse-names":false,"suffix":""},{"dropping-particle":"","family":"Fares","given":"Silvano","non-dropping-particle":"","parse-names":false,"suffix":""},{"dropping-particle":"","family":"Forbrich","given":"Inke","non-dropping-particle":"","parse-names":false,"suffix":""},{"dropping-particle":"","family":"Gamon","given":"John A.","non-dropping-particle":"","parse-names":false,"suffix":""},{"dropping-particle":"","family":"Gough","given":"Christopher M.","non-dropping-particle":"","parse-names":false,"suffix":""},{"dropping-particle":"","family":"Griffis","given":"Timothy","non-dropping-particle":"","parse-names":false,"suffix":""},{"dropping-particle":"","family":"Helbig","given":"Manuel","non-dropping-particle":"","parse-names":false,"suffix":""},{"dropping-particle":"","family":"Hollinger","given":"David","non-dropping-particle":"","parse-names":false,"suffix":""},{"dropping-particle":"","family":"Humphreys","given":"Elyn","non-dropping-particle":"","parse-names":false,"suffix":""},{"dropping-particle":"","family":"Ikawa","given":"Hiroki","non-dropping-particle":"","parse-names":false,"suffix":""},{"dropping-particle":"","family":"Iwata","given":"Hiroki","non-dropping-particle":"","parse-names":false,"suffix":""},{"dropping-particle":"","family":"Ju","given":"Yang","non-dropping-particle":"","parse-names":false,"suffix":""},{"dropping-particle":"","family":"Knowles","given":"John F.","non-dropping-particle":"","parse-names":false,"suffix":""},{"dropping-particle":"","family":"Knox","given":"Sara H.","non-dropping-particle":"","parse-names":false,"suffix":""},{"dropping-particle":"","family":"Kobayashi","given":"Hideki","non-dropping-particle":"","parse-names":false,"suffix":""},{"dropping-particle":"","family":"Kolb","given":"Thomas","non-dropping-particle":"","parse-names":false,"suffix":""},{"dropping-particle":"","family":"Law","given":"Beverly","non-dropping-particle":"","parse-names":false,"suffix":""},{"dropping-particle":"","family":"Lee","given":"Xuhui","non-dropping-particle":"","parse-names":false,"suffix":""},{"dropping-particle":"","family":"Litvak","given":"Marcy","non-dropping-particle":"","parse-names":false,"suffix":""},{"dropping-particle":"","family":"Liu","given":"Heping","non-dropping-particle":"","parse-names":false,"suffix":""},{"dropping-particle":"","family":"Munger","given":"J. William","non-dropping-particle":"","parse-names":false,"suffix":""},{"dropping-particle":"","family":"Noormets","given":"Asko","non-dropping-particle":"","parse-names":false,"suffix":""},{"dropping-particle":"","family":"Novick","given":"Kim","non-dropping-particle":"","parse-names":false,"suffix":""},{"dropping-particle":"","family":"Oberbauer","given":"Steven F.","non-dropping-particle":"","parse-names":false,"suffix":""},{"dropping-particle":"","family":"Oechel","given":"Walter","non-dropping-particle":"","parse-names":false,"suffix":""},{"dropping-particle":"","family":"Oikawa","given":"Patty","non-dropping-particle":"","parse-names":false,"suffix":""},{"dropping-particle":"","family":"Papuga","given":"Shirley A.","non-dropping-particle":"","parse-names":false,"suffix":""},{"dropping-particle":"","family":"Pendall","given":"Elise","non-dropping-particle":"","parse-names":false,"suffix":""},{"dropping-particle":"","family":"Prajapati","given":"Prajaya","non-dropping-particle":"","parse-names":false,"suffix":""},{"dropping-particle":"","family":"Prueger","given":"John","non-dropping-particle":"","parse-names":false,"suffix":""},{"dropping-particle":"","family":"Quinton","given":"William L","non-dropping-particle":"","parse-names":false,"suffix":""},{"dropping-particle":"","family":"Richardson","given":"Andrew D.","non-dropping-particle":"","parse-names":false,"suffix":""},{"dropping-particle":"","family":"Russell","given":"Eric S.","non-dropping-particle":"","parse-names":false,"suffix":""},{"dropping-particle":"","family":"Scott","given":"Russell L.","non-dropping-particle":"","parse-names":false,"suffix":""},{"dropping-particle":"","family":"Starr","given":"Gregory","non-dropping-particle":"","parse-names":false,"suffix":""},{"dropping-particle":"","family":"Staebler","given":"Ralf","non-dropping-particle":"","parse-names":false,"suffix":""},{"dropping-particle":"","family":"Stoy","given":"Paul C.","non-dropping-particle":"","parse-names":false,"suffix":""},{"dropping-particle":"","family":"Stuart-Haëntjens","given":"Ellen","non-dropping-particle":"","parse-names":false,"suffix":""},{"dropping-particle":"","family":"Sonnentag","given":"Oliver","non-dropping-particle":"","parse-names":false,"suffix":""},{"dropping-particle":"","family":"Sullivan","given":"Ryan C.","non-dropping-particle":"","parse-names":false,"suffix":""},{"dropping-particle":"","family":"Suyker","given":"Andy","non-dropping-particle":"","parse-names":false,"suffix":""},{"dropping-particle":"","family":"Ueyama","given":"Masahito","non-dropping-particle":"","parse-names":false,"suffix":""},{"dropping-particle":"","family":"Vargas","given":"Rodrigo","non-dropping-particle":"","parse-names":false,"suffix":""},{"dropping-particle":"","family":"Wood","given":"Jeffrey D.","non-dropping-particle":"","parse-names":false,"suffix":""},{"dropping-particle":"","family":"Zona","given":"Donatella","non-dropping-particle":"","parse-names":false,"suffix":""}],"container-title":"Agricultural and Forest Meteorology","id":"ITEM-1","issued":{"date-parts":[["2021","5"]]},"page":"108350","title":"Representativeness of eddy-covariance flux footprints for areas surrounding AmeriFlux sites","type":"article-journal","volume":"301-302"},"uris":["http://www.mendeley.com/documents/?uuid=0a2d6bff-0a9a-44be-b438-ab8fafd0c856"]}],"mendeley":{"formattedCitation":"(Chu et al., 2021)","manualFormatting":"Chu et al. (2021)","plainTextFormattedCitation":"(Chu et al., 2021)","previouslyFormattedCitation":"(Chu et al., 2021)"},"properties":{"noteIndex":0},"schema":"https://github.com/citation-style-language/schema/raw/master/csl-citation.json"}</w:instrText>
      </w:r>
      <w:r w:rsidRPr="00C1362F">
        <w:rPr>
          <w:rFonts w:eastAsia="Arial"/>
          <w:sz w:val="24"/>
        </w:rPr>
        <w:fldChar w:fldCharType="separate"/>
      </w:r>
      <w:r w:rsidRPr="00C1362F">
        <w:rPr>
          <w:rFonts w:eastAsia="Arial"/>
          <w:noProof/>
          <w:sz w:val="24"/>
        </w:rPr>
        <w:t>Chu et al. (2021)</w:t>
      </w:r>
      <w:r w:rsidRPr="00C1362F">
        <w:rPr>
          <w:rFonts w:eastAsia="Arial"/>
          <w:sz w:val="24"/>
        </w:rPr>
        <w:fldChar w:fldCharType="end"/>
      </w:r>
      <w:r>
        <w:rPr>
          <w:rFonts w:eastAsia="Arial"/>
          <w:sz w:val="24"/>
        </w:rPr>
        <w:t xml:space="preserve"> and </w:t>
      </w:r>
      <w:r w:rsidRPr="00C1362F">
        <w:rPr>
          <w:rFonts w:eastAsia="Arial"/>
          <w:sz w:val="24"/>
        </w:rPr>
        <w:t xml:space="preserve">estimates of root:shoot ratio that are expressed as a function of climate factors (e.g., temperature, precipitation) and </w:t>
      </w:r>
      <w:r>
        <w:rPr>
          <w:rFonts w:eastAsia="Arial"/>
          <w:sz w:val="24"/>
        </w:rPr>
        <w:t>vegetation types</w:t>
      </w:r>
      <w:r w:rsidRPr="00C1362F">
        <w:rPr>
          <w:rFonts w:eastAsia="Arial"/>
          <w:sz w:val="24"/>
        </w:rPr>
        <w:t xml:space="preserve"> </w:t>
      </w:r>
      <w:r w:rsidRPr="00C1362F">
        <w:rPr>
          <w:rFonts w:eastAsia="Arial"/>
          <w:sz w:val="24"/>
        </w:rPr>
        <w:fldChar w:fldCharType="begin" w:fldLock="1"/>
      </w:r>
      <w:r w:rsidRPr="00C1362F">
        <w:rPr>
          <w:rFonts w:eastAsia="Arial"/>
          <w:sz w:val="24"/>
        </w:rPr>
        <w:instrText>ADDIN CSL_CITATION {"citationItems":[{"id":"ITEM-1","itemData":{"DOI":"10.1016/j.gecco.2019.e00606","ISSN":"23519894","abstract":"Globally, the allocation of root-shoot biomass is a key plant-adaptive strategy for terrestrial ecosystems to enhance carbon-sequestration capacity. However, the deep mechanisms of above-/below-ground biomass distribution remain unclear, partly due to the multiple influencing factors. We thus aim to clarify the role of various factors in biomass allocation across diverse terrestrial biomes in the paper. A key indicator named root/shoot ratio (RSR)was established, and 7763 observational data-sets were collected from literature, including root biomass, shoot biomass, plant height, climate information and the geographical coordinates. Results highlighted the differences in RSR across terrestrial plants in biomes with a mean value of approximately 0.90. Grasses and boreal forest captured the highest and lowest mean RSR, respectively, while tree had a lower mean RSR than shrub and grass. Angiosperms and deciduous plants, on the other hand, have a higher mean RSR than gymnosperms and evergreen plants, respectively. Moreover, RSR is negatively correlated with mean annual temperature, precipitation, plant height and shoot biomass, but positively correlated with elevation and latitude. Redundancy analysis reflected that biotic and abiotic factors explained RSR variability similarly with a residual of 0.883. These findings support the optimal partitioning hypothesis that plants adjust their growth strategy according to different environments, and in particular, tend to partition more biomass to root systems under more stressful, low-nutrient and poor climatic conditions.","author":[{"dropping-particle":"","family":"Qi","given":"Yulin","non-dropping-particle":"","parse-names":false,"suffix":""},{"dropping-particle":"","family":"Wei","given":"Wei","non-dropping-particle":"","parse-names":false,"suffix":""},{"dropping-particle":"","family":"Chen","given":"Cungen","non-dropping-particle":"","parse-names":false,"suffix":""},{"dropping-particle":"","family":"Chen","given":"Liding","non-dropping-particle":"","parse-names":false,"suffix":""}],"container-title":"Global Ecology and Conservation","id":"ITEM-1","issued":{"date-parts":[["2019"]]},"page":"e00606","title":"Plant root-shoot biomass allocation over diverse biomes: A global synthesis","type":"article-journal","volume":"18"},"uris":["http://www.mendeley.com/documents/?uuid=6a0880bd-0242-4e72-8fdd-317ab7d190ea"]},{"id":"ITEM-2","itemData":{"DOI":"10.1088/1748-9326/ac0747","ISSN":"17489326","abstract":"The partitioning of belowground biomass (BGB) to aboveground biomass (AGB) is commonly described as the root-to-shoot ratio (R/S). Although a number of studies have shown that biodiversity can influence AGB and BGB in grasslands at the local and global scale, the global-scale patterns reflecting how plant diversity affects R/S and the factors controlling such effects remain unclear. In this study, we explored the global patterns and associated drivers of biomass partitioning responding to plant diversity by conducting a meta-analysis of 333 observations from 30 studies in grasslands worldwide. Overall, plant diversity significantly increased AGB, BGB, and total biomass, whereas significantly decreased R/S. The effects of plant diversity on biomass partitioning varied with experimental types. The effect size for AGB and BGB in the field was larger than in greenhouse experiments, but the effect size for R/S did not significantly differ between field and greenhouse experiments. Moreover, there was no significant relationship between R/S and species richness and experimental duration in greenhouse experiments. However, the effect size for AGB, BGB, and R/S increased logarithmically with species richness and experimental duration in the field experiments. Specifically, the effect size for R/S in the field experiments switched from negative to neutral as the species richness and experimental duration increased. Furthermore, the effect size for R/S was positively correlated with complementary effects of BGB, and it increased logarithmically with mean annual temperature (MAT) and precipitation. Structural equation models showed that species richness, experimental duration, and MAT impact R/S indirectly by changing the BGB. Overall, our findings suggest that plant mixtures invest less in BGB than monocultures, and highlight that low investment in BGB will disappear gradually over time as species richness increases.","author":[{"dropping-particle":"","family":"Wang","given":"Chao","non-dropping-particle":"","parse-names":false,"suffix":""},{"dropping-particle":"","family":"Zhang","given":"Weiwei","non-dropping-particle":"","parse-names":false,"suffix":""},{"dropping-particle":"","family":"Li","given":"Xiaona","non-dropping-particle":"","parse-names":false,"suffix":""},{"dropping-particle":"","family":"Hou","given":"Yanhui","non-dropping-particle":"","parse-names":false,"suffix":""},{"dropping-particle":"","family":"Wu","given":"Juying","non-dropping-particle":"","parse-names":false,"suffix":""}],"container-title":"Environmental Research Letters","id":"ITEM-2","issue":"6","issued":{"date-parts":[["2021"]]},"page":"e064083","title":"A global meta-analysis of the effects of plant diversity on biomass partitioning in grasslands","type":"article-journal","volume":"16"},"uris":["http://www.mendeley.com/documents/?uuid=5ab68f29-c4e4-43df-b8de-78c76408787c"]},{"id":"ITEM-3","itemData":{"DOI":"10.1111/j.1469-8137.2005.01569.x","ISSN":"0028646X","PMID":"16390421","abstract":"• Biomass partitioning is an important variable in terrestrial ecosystem carbon modeling. However, geographical and interannual variability in fBNPP, defined as the fraction of belowground net primary productivity (BNPP) to total NPP, and its relationship with climatic variables, have not been explored. • Here we addressed these issues by synthesizing 94 site-year field biomass data at 12 grassland sites around the world from a global NPP database and from the literature. • Results showed that f BNPP varied from 0.40 to 0.86 across 12 sites. In general, savanna and humid savanna ecosystems had smaller fBNPP but larger interannual variability in fBNPP, and cold desert steppes had larger f BNPP but smaller interannual variability. While mean fBNPP at a site decreased significantly with increasing mean annual temperature and precipitation across sites, no consistent temporal response of fBNPP with annual temperature and precipitation was found within sites. • Based on these results, both geographical variability in fBNPP and the divergent responses of fBNPP with climatic variables at geographical and temporal scales should be considered in global C modeling. © New Phytologist (2005).","author":[{"dropping-particle":"","family":"Hui","given":"Dafeng","non-dropping-particle":"","parse-names":false,"suffix":""},{"dropping-particle":"","family":"Jackson","given":"Robert B.","non-dropping-particle":"","parse-names":false,"suffix":""}],"container-title":"New Phytologist","id":"ITEM-3","issue":"1","issued":{"date-parts":[["2006"]]},"page":"85-93","title":"Geographical and interannual variability in biomass partitioning in grassland ecosystems: A synthesis of field data","type":"article-journal","volume":"169"},"uris":["http://www.mendeley.com/documents/?uuid=ee887778-f84f-4447-9621-d8886f049346"]}],"mendeley":{"formattedCitation":"(Hui &amp; Jackson, 2006; Qi et al., 2019; Chao Wang et al., 2021)","manualFormatting":"(Hui &amp; Jackson, 2006; Qi et al., 2019; Wang et al., 2021)","plainTextFormattedCitation":"(Hui &amp; Jackson, 2006; Qi et al., 2019; Chao Wang et al., 2021)","previouslyFormattedCitation":"(Hui &amp; Jackson, 2006; Qi et al., 2019; Chao Wang et al., 2021)"},"properties":{"noteIndex":0},"schema":"https://github.com/citation-style-language/schema/raw/master/csl-citation.json"}</w:instrText>
      </w:r>
      <w:r w:rsidRPr="00C1362F">
        <w:rPr>
          <w:rFonts w:eastAsia="Arial"/>
          <w:sz w:val="24"/>
        </w:rPr>
        <w:fldChar w:fldCharType="separate"/>
      </w:r>
      <w:r w:rsidRPr="00C1362F">
        <w:rPr>
          <w:rFonts w:eastAsia="Arial"/>
          <w:noProof/>
          <w:sz w:val="24"/>
        </w:rPr>
        <w:t>(Hui &amp; Jackson, 2006; Qi et al., 2019; Wang et al., 2021)</w:t>
      </w:r>
      <w:r w:rsidRPr="00C1362F">
        <w:rPr>
          <w:rFonts w:eastAsia="Arial"/>
          <w:sz w:val="24"/>
        </w:rPr>
        <w:fldChar w:fldCharType="end"/>
      </w:r>
      <w:r w:rsidRPr="00C1362F">
        <w:rPr>
          <w:rFonts w:eastAsia="Arial"/>
          <w:sz w:val="24"/>
        </w:rPr>
        <w:t xml:space="preserve"> </w:t>
      </w:r>
      <w:r>
        <w:rPr>
          <w:rFonts w:eastAsia="Arial"/>
          <w:sz w:val="24"/>
        </w:rPr>
        <w:t>for</w:t>
      </w:r>
      <w:r w:rsidRPr="00C1362F">
        <w:rPr>
          <w:rFonts w:eastAsia="Arial"/>
          <w:sz w:val="24"/>
        </w:rPr>
        <w:t xml:space="preserve"> </w:t>
      </w:r>
      <w:r>
        <w:rPr>
          <w:rFonts w:eastAsia="Arial"/>
          <w:sz w:val="24"/>
        </w:rPr>
        <w:t>allocating</w:t>
      </w:r>
      <w:r w:rsidRPr="00C1362F">
        <w:rPr>
          <w:rFonts w:eastAsia="Arial"/>
          <w:sz w:val="24"/>
        </w:rPr>
        <w:t xml:space="preserve"> </w:t>
      </w:r>
      <w:r>
        <w:rPr>
          <w:rFonts w:eastAsia="Arial"/>
          <w:sz w:val="24"/>
        </w:rPr>
        <w:t xml:space="preserve">modeled </w:t>
      </w:r>
      <w:r w:rsidRPr="00C1362F">
        <w:rPr>
          <w:rFonts w:eastAsia="Arial"/>
          <w:sz w:val="24"/>
        </w:rPr>
        <w:t>NPP into aboveground and belowground biomass</w:t>
      </w:r>
      <w:r>
        <w:rPr>
          <w:rFonts w:eastAsia="Arial"/>
          <w:sz w:val="24"/>
        </w:rPr>
        <w:t xml:space="preserve">, can be utilized. Parameterizing the RCTM </w:t>
      </w:r>
      <w:r w:rsidRPr="00C1362F">
        <w:rPr>
          <w:rFonts w:eastAsia="Arial"/>
          <w:sz w:val="24"/>
        </w:rPr>
        <w:t xml:space="preserve">for more detailed </w:t>
      </w:r>
      <w:r>
        <w:rPr>
          <w:rFonts w:eastAsia="Arial"/>
          <w:sz w:val="24"/>
        </w:rPr>
        <w:t>vegetation types</w:t>
      </w:r>
      <w:r w:rsidRPr="00C1362F">
        <w:rPr>
          <w:rFonts w:eastAsia="Arial"/>
          <w:sz w:val="24"/>
        </w:rPr>
        <w:t xml:space="preserve"> such as annual versus perennial grass </w:t>
      </w:r>
      <w:r w:rsidRPr="00C1362F">
        <w:rPr>
          <w:rFonts w:eastAsia="Arial"/>
          <w:sz w:val="24"/>
        </w:rPr>
        <w:fldChar w:fldCharType="begin" w:fldLock="1"/>
      </w:r>
      <w:r w:rsidRPr="00C1362F">
        <w:rPr>
          <w:rFonts w:eastAsia="Arial"/>
          <w:sz w:val="24"/>
        </w:rPr>
        <w:instrText>ADDIN CSL_CITATION {"citationItems":[{"id":"ITEM-1","itemData":{"DOI":"10.1007/s00374-003-0698-y","ISSN":"01782762","abstract":"The use of annually sown pastures to provide winter forage is common in dairy farming in many regions of the world. Loss of organic matter and soil structural stability due to annual tillage under this management may be contributing to soil degradation. The comparative effects of annual ryegrass pastures (conventionally tilled and resown each year), permanent kikuyu pastures and undisturbed native vegetation on soil organic matter content, microbial size and activity, and aggregate stability were investigated on commercial dairy farms in the Tsitsikamma region of the Eastern Cape, South Africa. In comparison with soils under sparse, native grassy vegetation, those under both annual ryegrass and permanent kikuyu pasture had higher soil organic matter content on the very sandy soils of the eastern end of the region. By contrast, in the higher rainfall, western side, where the native vegetation was coastal forest, there was a loss of organic matter under both types of pasture. Nonetheless, soil organic C, K2SO4-extractable C, microbial biomass C, basal respiration, arginine ammonification and fluorescein diacetate hydrolysis rates and aggregate stability were less under annual than permanent pastures at all the sites. These results reflect the degrading effect of annual tillage on soil organic matter and the positive effect of grazed permanent pasture on soil microbial activity and aggregation. Soil organic C, microbial biomass C, K2SO4-extractable C, basal respiration and aggregate stability were significantly correlated with each other. The metabolic quotient and percentage of organic C present as microbial biomass C were generally poorly correlated with other measured properties but negatively correlated with one another. It was concluded that annual pasture involving conventional tillage results in a substantial loss of soil organic matter, soil microbial activity and soil physical condition under dairy pastures and that a system that avoids tillage needs to be developed.","author":[{"dropping-particle":"","family":"Milne","given":"R. M.","non-dropping-particle":"","parse-names":false,"suffix":""},{"dropping-particle":"","family":"Haynes","given":"R. J.","non-dropping-particle":"","parse-names":false,"suffix":""}],"container-title":"Biology and Fertility of Soils","id":"ITEM-1","issue":"3","issued":{"date-parts":[["2004"]]},"page":"172-178","title":"Soil organic matter, microbial properties, and aggregate stability under annual and perennial pastures","type":"article-journal","volume":"39"},"uris":["http://www.mendeley.com/documents/?uuid=4c8aafaf-7d59-4cfe-aaa6-b17f8ead7171"]}],"mendeley":{"formattedCitation":"(Milne &amp; Haynes, 2004)","plainTextFormattedCitation":"(Milne &amp; Haynes, 2004)","previouslyFormattedCitation":"(Milne &amp; Haynes, 2004)"},"properties":{"noteIndex":0},"schema":"https://github.com/citation-style-language/schema/raw/master/csl-citation.json"}</w:instrText>
      </w:r>
      <w:r w:rsidRPr="00C1362F">
        <w:rPr>
          <w:rFonts w:eastAsia="Arial"/>
          <w:sz w:val="24"/>
        </w:rPr>
        <w:fldChar w:fldCharType="separate"/>
      </w:r>
      <w:r w:rsidRPr="00C1362F">
        <w:rPr>
          <w:rFonts w:eastAsia="Arial"/>
          <w:noProof/>
          <w:sz w:val="24"/>
        </w:rPr>
        <w:t>(Milne &amp; Haynes, 2004)</w:t>
      </w:r>
      <w:r w:rsidRPr="00C1362F">
        <w:rPr>
          <w:rFonts w:eastAsia="Arial"/>
          <w:sz w:val="24"/>
        </w:rPr>
        <w:fldChar w:fldCharType="end"/>
      </w:r>
      <w:r w:rsidRPr="00C1362F">
        <w:rPr>
          <w:rFonts w:eastAsia="Arial"/>
          <w:sz w:val="24"/>
        </w:rPr>
        <w:t xml:space="preserve">, C3 versus C4 grass </w:t>
      </w:r>
      <w:r w:rsidRPr="00C1362F">
        <w:rPr>
          <w:rFonts w:eastAsia="Arial"/>
          <w:sz w:val="24"/>
        </w:rPr>
        <w:fldChar w:fldCharType="begin" w:fldLock="1"/>
      </w:r>
      <w:r w:rsidRPr="00C1362F">
        <w:rPr>
          <w:rFonts w:eastAsia="Arial"/>
          <w:sz w:val="24"/>
        </w:rPr>
        <w:instrText>ADDIN CSL_CITATION {"citationItems":[{"id":"ITEM-1","itemData":{"DOI":"10.1016/j.rse.2006.08.012","ISSN":"00344257","abstract":"Two spatially-explicit estimates of gross primary production (GPP) are available for the Northern Great Plains. An empirical piecewise regression (PWR) GPP model was developed from flux tower measurements to map carbon flux across the region. The Moderate Resolution Imaging Spectrometer (MODIS) GPP model is a process-based model that uses flux tower data to calibrate its parameters. Verification and comparison of the regional PWR GPP and the global MODIS GPP are important for the modeling of grassland carbon flux. This study compared GPP estimates from PWR and MODIS models with five towers in the grasslands. Among them, PWR GPP and MODIS GPP showed a good agreement with tower-based GPP at three towers. The global MODIS GPP, however, did not agree well with tower-based GPP at two other towers, probably because of the insensitivity of MODIS model to regional ecosystem and climate change and extreme soil moisture conditions. Cross-validation indicated that the PWR model is relatively robust for predicting regional grassland GPP. However, the PWR model should include a wide variety of flux tower data as the training data sets to obtain more accurate results. In addition, GPP maps based on the PWR and MODIS models were compared for the entire region. In the northwest and south, PWR GPP was much higher than MODIS GPP. These areas were characterized by the higher water holding capacity with a lower proportion of C4 grasses in the northwest and a higher proportion of C4 grasses in the south. In the central and southeastern regions, PWR GPP was much lower than MODIS GPP under complicated conditions with generally mixed C3/C4 grasses. The analysis indicated that the global MODIS GPP model has some limitations on detecting moisture stress, which may have been caused by the facts that C3 and C4 grasses are not distinguished, water stress is driven by vapor pressure deficit (VPD) from coarse meteorological data, and MODIS land cover data are unable to differentiate the sub-pixel cropland components. © 2006 Elsevier Inc. All rights reserved.","author":[{"dropping-particle":"","family":"Zhang","given":"Li","non-dropping-particle":"","parse-names":false,"suffix":""},{"dropping-particle":"","family":"Wylie","given":"Bruce","non-dropping-particle":"","parse-names":false,"suffix":""},{"dropping-particle":"","family":"Loveland","given":"Thomas","non-dropping-particle":"","parse-names":false,"suffix":""},{"dropping-particle":"","family":"Fosnight","given":"Eugene","non-dropping-particle":"","parse-names":false,"suffix":""},{"dropping-particle":"","family":"Tieszen","given":"Larry L.","non-dropping-particle":"","parse-names":false,"suffix":""},{"dropping-particle":"","family":"Ji","given":"Lei","non-dropping-particle":"","parse-names":false,"suffix":""},{"dropping-particle":"","family":"Gilmanov","given":"Tagir","non-dropping-particle":"","parse-names":false,"suffix":""}],"container-title":"Remote Sensing of Environment","id":"ITEM-1","issue":"2","issued":{"date-parts":[["2007"]]},"page":"173-189","title":"Evaluation and comparison of gross primary production estimates for the Northern Great Plains grasslands","type":"article-journal","volume":"106"},"uris":["http://www.mendeley.com/documents/?uuid=ebec51b2-c963-4021-8baf-c1c995d26c24"]}],"mendeley":{"formattedCitation":"(L. Zhang et al., 2007)","manualFormatting":"(Zhang et al., 2007)","plainTextFormattedCitation":"(L. Zhang et al., 2007)","previouslyFormattedCitation":"(L. Zhang et al., 2007)"},"properties":{"noteIndex":0},"schema":"https://github.com/citation-style-language/schema/raw/master/csl-citation.json"}</w:instrText>
      </w:r>
      <w:r w:rsidRPr="00C1362F">
        <w:rPr>
          <w:rFonts w:eastAsia="Arial"/>
          <w:sz w:val="24"/>
        </w:rPr>
        <w:fldChar w:fldCharType="separate"/>
      </w:r>
      <w:r w:rsidRPr="00C1362F">
        <w:rPr>
          <w:rFonts w:eastAsia="Arial"/>
          <w:noProof/>
          <w:sz w:val="24"/>
        </w:rPr>
        <w:t>(Zhang et al., 2007)</w:t>
      </w:r>
      <w:r w:rsidRPr="00C1362F">
        <w:rPr>
          <w:rFonts w:eastAsia="Arial"/>
          <w:sz w:val="24"/>
        </w:rPr>
        <w:fldChar w:fldCharType="end"/>
      </w:r>
      <w:r w:rsidRPr="00C1362F">
        <w:rPr>
          <w:rFonts w:eastAsia="Arial"/>
          <w:sz w:val="24"/>
        </w:rPr>
        <w:t xml:space="preserve">, tallgrass versus shortgrass </w:t>
      </w:r>
      <w:r w:rsidRPr="00C1362F">
        <w:rPr>
          <w:rFonts w:eastAsia="Arial"/>
          <w:sz w:val="24"/>
        </w:rPr>
        <w:fldChar w:fldCharType="begin" w:fldLock="1"/>
      </w:r>
      <w:r w:rsidRPr="00C1362F">
        <w:rPr>
          <w:rFonts w:eastAsia="Arial"/>
          <w:sz w:val="24"/>
        </w:rPr>
        <w:instrText>ADDIN CSL_CITATION {"citationItems":[{"id":"ITEM-1","itemData":{"DOI":"10.1029/2004GB002226","ISSN":"08866236","abstract":"The response of plant ecosystems to environmental change will determine whether the terrestrial biosphere will remain a substantial carbon sink or become a source during the next century. We use two ecosystem models, the Generic Decomposition And Yield model (G'DAY) and the daily time step version of the Century model (DAYCENT), to simulate net ecosystem productivity (NEP) for three contrasting ecosystems (shortgrass steppe in Colorado, tallgrass prairie in Kansas, and Norway spruce in Sweden) with varying degrees of water, temperature, and nutrient limitation, to determine responses to gradual increases in atmospheric CO2 concentration ([CO2]), temperature, and nitrogen input over 100 years. Using G'DAY, under rising [CO2], there is evidence of C sink \"saturation,\" defined here as positive NEP reaching an upper limit and then declining toward zero, at all three sites (due largely to increased N immobilization in soil organic matter) but a positive C sink is sustained throughout the 100 years. DAYCENT also predicts a sustained C sink at all three sites under rising [CO2], with evidence of C sink saturation for the Colorado grassland and the C sink levels off after 80 years for the Kansas grassland. Warming reduces soil C and the C sink in both grassland ecosystems but increases the C sink in the forest. Warming increases decomposition and soil N mineralization, which stimulates net primary productivity (NPP) at all sites except when inducing water limitation. At the forest site some of the enhanced N release is allocated to a woody biomass pool with a low N:C ratio so that warming enhances NEP without increased N input at the forest site, but not at the grassland sites. Responses to combinations of treatments are generally additive for DAYCENT but more interactive for G'DAY, especially under combined rising [CO2] and warming at the strongly water-and N-limited shortgrass steppe. Increasing N input alleviates C sink saturation and enhances NEP, NPP, and soil C at all sites. At the water-limited grassland sites the effect of rising [CO2] on growth is greatest during the drier seasons. Key sensitivities in the simulations of NEP are identified and include NPP sensitivity to gradual increase in [CO2], N immobilization as a long-term feedback, and the presence or not of plant biomass pools with low N:C ratio. Copyright 2005 by the American Geophysical Union.","author":[{"dropping-particle":"","family":"Pepper","given":"D. A.","non-dropping-particle":"","parse-names":false,"suffix":""},{"dropping-particle":"","family":"Grosso","given":"S. J.","non-dropping-particle":"Del","parse-names":false,"suffix":""},{"dropping-particle":"","family":"McMurtrie","given":"R. E.","non-dropping-particle":"","parse-names":false,"suffix":""},{"dropping-particle":"","family":"Parton","given":"W. J.","non-dropping-particle":"","parse-names":false,"suffix":""}],"container-title":"Global Biogeochemical Cycles","id":"ITEM-1","issue":"1","issued":{"date-parts":[["2005"]]},"page":"1-20","title":"Simulated carbon sink response of shortgrass steppe, tallgrass prairie and forest ecosystems to rising [CO&lt;sub&gt;2&lt;/sub&gt;], temperature and nitrogen input","type":"article-journal","volume":"19"},"uris":["http://www.mendeley.com/documents/?uuid=98055958-a9e9-4c95-85cf-fabe23a8af9b"]}],"mendeley":{"formattedCitation":"(Pepper et al., 2005)","plainTextFormattedCitation":"(Pepper et al., 2005)","previouslyFormattedCitation":"(Pepper et al., 2005)"},"properties":{"noteIndex":0},"schema":"https://github.com/citation-style-language/schema/raw/master/csl-citation.json"}</w:instrText>
      </w:r>
      <w:r w:rsidRPr="00C1362F">
        <w:rPr>
          <w:rFonts w:eastAsia="Arial"/>
          <w:sz w:val="24"/>
        </w:rPr>
        <w:fldChar w:fldCharType="separate"/>
      </w:r>
      <w:r w:rsidRPr="00C1362F">
        <w:rPr>
          <w:rFonts w:eastAsia="Arial"/>
          <w:noProof/>
          <w:sz w:val="24"/>
        </w:rPr>
        <w:t>(Pepper et al., 2005)</w:t>
      </w:r>
      <w:r w:rsidRPr="00C1362F">
        <w:rPr>
          <w:rFonts w:eastAsia="Arial"/>
          <w:sz w:val="24"/>
        </w:rPr>
        <w:fldChar w:fldCharType="end"/>
      </w:r>
      <w:r w:rsidRPr="00C1362F">
        <w:rPr>
          <w:rFonts w:eastAsia="Arial"/>
          <w:sz w:val="24"/>
        </w:rPr>
        <w:t xml:space="preserve">, </w:t>
      </w:r>
      <w:r>
        <w:rPr>
          <w:rFonts w:eastAsia="Arial"/>
          <w:sz w:val="24"/>
        </w:rPr>
        <w:t xml:space="preserve">and </w:t>
      </w:r>
      <w:r w:rsidRPr="00C1362F">
        <w:rPr>
          <w:rFonts w:eastAsia="Arial"/>
          <w:sz w:val="24"/>
        </w:rPr>
        <w:t xml:space="preserve">pastures with different qualities </w:t>
      </w:r>
      <w:r w:rsidRPr="00C1362F">
        <w:rPr>
          <w:rFonts w:eastAsia="Arial"/>
          <w:sz w:val="24"/>
        </w:rPr>
        <w:fldChar w:fldCharType="begin" w:fldLock="1"/>
      </w:r>
      <w:r w:rsidRPr="00C1362F">
        <w:rPr>
          <w:rFonts w:eastAsia="Arial"/>
          <w:sz w:val="24"/>
        </w:rPr>
        <w:instrText>ADDIN CSL_CITATION {"citationItems":[{"id":"ITEM-1","itemData":{"DOI":"10.1007/s10113-022-01945-9","ISSN":"1436378X","abstract":"There are currently 180 million hectares under pasture in Brazil, and despite the country being one of the largest meat producers, there remain around 64 million hectares that show signs of degradation and contribute to the substantial loss of soil organic carbon (SOC). The aim of this study, therefore, was to derive the factors for SOC stock changes in managed pastures and evaluate the potential for SOC sequestration when converting degraded pastures to well-managed or recovered pastures in Brazil. The study involved 169 paired comparisons, including different types of pasture spread over 14 states in Brazil, and analysed the data in linear mixed-effect models deriving the SOC stock change factors for various soil depths (30 to 100 cm) over 30 years since the change in management. The results showed that for 30 years at a depth of 0–30 cm, compared to native vegetation, nominal pasture (non-degraded grassland, but with no significant management improvements) and improved pasture increased SOC stocks by 15% and 8%, whilst degraded pastures reduced the stocks by 10%. However, the recovery of degraded pastures enhances the SOC by 23%. In terms of the rates of SOC change, pasture degradation leads to losses of 0.25 Mg C ha−1 year−1, whilst nominal or recovered pastures can sequester SOC at rates from 0.25 to 0.54 Mg ha−1 year−1. Overall, it was estimated that the recovery of degraded pastures can sequester up to 3445 Tg of CO2. Nominal management or simple improvement practices can maintain or enhance SOC stocks, helping to mitigate the GHG emissions of livestock in Brazil.","author":[{"dropping-particle":"","family":"Oliveira","given":"Daniele Costa","non-dropping-particle":"de","parse-names":false,"suffix":""},{"dropping-particle":"","family":"Maia","given":"Stoécio Malta Ferreira","non-dropping-particle":"","parse-names":false,"suffix":""},{"dropping-particle":"","family":"Freitas","given":"Rita de Cássia Alves","non-dropping-particle":"","parse-names":false,"suffix":""},{"dropping-particle":"","family":"Cerri","given":"Carlos Eduardo Pellegrino","non-dropping-particle":"","parse-names":false,"suffix":""}],"container-title":"Regional Environmental Change","id":"ITEM-1","issue":"3","issued":{"date-parts":[["2022"]]},"page":"e87","title":"Changes in soil carbon and soil carbon sequestration potential under different types of pasture management in Brazil","type":"article-journal","volume":"22"},"uris":["http://www.mendeley.com/documents/?uuid=6fab529d-1b94-4922-8a49-8182251d3639"]}],"mendeley":{"formattedCitation":"(de Oliveira et al., 2022)","plainTextFormattedCitation":"(de Oliveira et al., 2022)","previouslyFormattedCitation":"(de Oliveira et al., 2022)"},"properties":{"noteIndex":0},"schema":"https://github.com/citation-style-language/schema/raw/master/csl-citation.json"}</w:instrText>
      </w:r>
      <w:r w:rsidRPr="00C1362F">
        <w:rPr>
          <w:rFonts w:eastAsia="Arial"/>
          <w:sz w:val="24"/>
        </w:rPr>
        <w:fldChar w:fldCharType="separate"/>
      </w:r>
      <w:r w:rsidRPr="00C1362F">
        <w:rPr>
          <w:rFonts w:eastAsia="Arial"/>
          <w:noProof/>
          <w:sz w:val="24"/>
        </w:rPr>
        <w:t>(de Oliveira et al., 2022)</w:t>
      </w:r>
      <w:r w:rsidRPr="00C1362F">
        <w:rPr>
          <w:rFonts w:eastAsia="Arial"/>
          <w:sz w:val="24"/>
        </w:rPr>
        <w:fldChar w:fldCharType="end"/>
      </w:r>
      <w:r w:rsidRPr="00C1362F">
        <w:rPr>
          <w:rFonts w:eastAsia="Arial"/>
          <w:sz w:val="24"/>
        </w:rPr>
        <w:t xml:space="preserve"> that are known to have varying vegetation growth and C dynamics </w:t>
      </w:r>
      <w:r w:rsidRPr="00C1362F">
        <w:rPr>
          <w:rFonts w:eastAsia="Arial"/>
          <w:sz w:val="24"/>
        </w:rPr>
        <w:fldChar w:fldCharType="begin" w:fldLock="1"/>
      </w:r>
      <w:r>
        <w:rPr>
          <w:rFonts w:eastAsia="Arial"/>
          <w:sz w:val="24"/>
        </w:rPr>
        <w:instrText>ADDIN CSL_CITATION {"citationItems":[{"id":"ITEM-1","itemData":{"DOI":"10.1080/10106049.2018.1474274","ISSN":"10106049","abstract":"Integrating the Red Edge channel in satellite sensors is valuable for plant species discrimination. Sentinel-2 MSI and Rapid Eye are some of the new generation satellite sensors that are characterized by finer spatial and spectral resolution, including the red edge band. The aim of this study was to evaluate the potential of the red edge band of Sentinel-2 and Rapid Eye, for mapping festuca C3 grass using discriminant analysis and maximum likelihood classification algorithms. Spectral bands, vegetation indices and spectral bands plus vegetation indices were analysed. Results show that the integration of the red edge band improved the festuca C3 grass mapping accuracy by 5.95 and 4.76% for Sentinel-2 and Rapid Eye when the red edge bands were included and excluded in the analysis, respectively. The results demonstrate that the use of sensors with strategically positioned red edge bands, could offer information that is critical for the sustainable rangeland management.","author":[{"dropping-particle":"","family":"Otunga","given":"Charles","non-dropping-particle":"","parse-names":false,"suffix":""},{"dropping-particle":"","family":"Odindi","given":"John","non-dropping-particle":"","parse-names":false,"suffix":""},{"dropping-particle":"","family":"Mutanga","given":"Onisimo","non-dropping-particle":"","parse-names":false,"suffix":""},{"dropping-particle":"","family":"Adjorlolo","given":"Clement","non-dropping-particle":"","parse-names":false,"suffix":""}],"container-title":"Geocarto International","id":"ITEM-1","issue":"10","issued":{"date-parts":[["2019"]]},"page":"1123-1143","title":"Evaluating the potential of the red edge channel for C3 (Festuca spp.) grass discrimination using Sentinel-2 and Rapid Eye satellite image data","type":"article-journal","volume":"34"},"uris":["http://www.mendeley.com/documents/?uuid=5d9509c5-a68f-4e34-b3af-b3d58fcb296a"]},{"id":"ITEM-2","itemData":{"DOI":"10.1080/0143116021000021288","ISSN":"01431161","abstract":"The objective of this study was to explore the use of multi-temporal Landsat TM data from the same growing season for the classification of land cover types in the south-western portion of the Argentine Pampas. Investigations were made on how many dates are necessary to obtain an accurate classification and, given a fixed number of dates, which is the particular combination of dates that yield the best results. Additionally, the effect of using the NDVI instead of all the bands available on the classification accuracy and the use of a moving window filter over the classified image were tested. Scenes acquired in spring, early summer, late summer and early fall of the 1996-1997 growing season were used. Land cover information for the same period was collected from farms and ranches and this information was included in a GIS. Supervised classifications were performed using all the 15 possible ways to combine the four dates. At least two scenes are needed for a satisfactory classification. These scenes must embrace the shift between winter and summer crops (i.e. one spring and one summer image). Using the NDVI instead of Landsat TM bands 3, 4 and 5 increased the biological interpretability of the results but caused a decrease in accuracy.","author":[{"dropping-particle":"","family":"Guerschman","given":"J. P.","non-dropping-particle":"","parse-names":false,"suffix":""},{"dropping-particle":"","family":"Paruelo","given":"J. M.","non-dropping-particle":"","parse-names":false,"suffix":""},{"dropping-particle":"","family":"Bella","given":"C.","non-dropping-particle":"Di","parse-names":false,"suffix":""},{"dropping-particle":"","family":"Giallorenzi","given":"M. C.","non-dropping-particle":"","parse-names":false,"suffix":""},{"dropping-particle":"","family":"Pacin","given":"F.","non-dropping-particle":"","parse-names":false,"suffix":""}],"container-title":"International Journal of Remote Sensing","id":"ITEM-2","issue":"17","issued":{"date-parts":[["2003"]]},"page":"3381-3402","title":"Land cover classification in the Argentine Pampas using multi-temporal Landsat TM data","type":"article-journal","volume":"24"},"uris":["http://www.mendeley.com/documents/?uuid=dee239bf-8e73-4185-b97c-b82fbcd916eb"]},{"id":"ITEM-3","itemData":{"DOI":"10.1117/1.jrs.8.085198","ISSN":"1931-3195","abstract":"Bioenergy land use is expanding today as biofuel is consuming higher amount of agricultural production. In 2007, a widespread expansion of corn planting areas was recorded in the United States Department of Agriculture crop census. To better document the corn-related land use change, this study mapped the spatial distributions of four major annual crops (corn, soybean, winter wheat, and spring wheat) and three perennial crops (shortgrass, warm-season tallgrass, and cool-season tallgrass) in the Midwest. From 2006 to 2008, the 8-day, 500-m moderate resolution imaging spectroradiometer (MODIS) surface reflectance products were used to retrieve the normalized difference vegetation index (NDVI) composites. A support vector machine classifier was applied to identify these crops based on their unique growth cycles reflected from NDVI trajectories. The results showed a net increase of 15% of corn fields in 2007 accompanied by a net decrease of 16% in 2008. With the season-long integrated NDVI, this study also explored the geographic context and biomass proxy of native perennial grasses, an important feedstock of cellulosic biofuel. Mostly growing in North Dakota, South Dakota, Nebraska, and Kansas, their biomass quantities increased from west to east. This study indicates that frequent satellite observations may provide an efficient tool for monitoring biomass supplies and land use changes to assist national bioenergy decision-making.","author":[{"dropping-particle":"","family":"Wang","given":"Cuizhen","non-dropping-particle":"","parse-names":false,"suffix":""},{"dropping-particle":"","family":"Zhong","given":"Cheng","non-dropping-particle":"","parse-names":false,"suffix":""},{"dropping-particle":"","family":"Yang","given":"Zhengwei","non-dropping-particle":"","parse-names":false,"suffix":""}],"container-title":"Journal of Applied Remote Sensing","id":"ITEM-3","issue":"1","issued":{"date-parts":[["2014"]]},"page":"e085198","title":"Assessing bioenergy-driven agricultural land use change and biomass quantities in the U.S. Midwest with MODIS time series","type":"article-journal","volume":"8"},"uris":["http://www.mendeley.com/documents/?uuid=87c47c7f-7eb9-4d29-8202-f9339d84b1af"]}],"mendeley":{"formattedCitation":"(Guerschman et al., 2003; Otunga et al., 2019; Cuizhen Wang et al., 2014)","manualFormatting":"(Guerschman et al., 2003; Otunga et al., 2019; Wang et al., 2014)","plainTextFormattedCitation":"(Guerschman et al., 2003; Otunga et al., 2019; Cuizhen Wang et al., 2014)","previouslyFormattedCitation":"(Guerschman et al., 2003; Otunga et al., 2019; Cuizhen Wang et al., 2014)"},"properties":{"noteIndex":0},"schema":"https://github.com/citation-style-language/schema/raw/master/csl-citation.json"}</w:instrText>
      </w:r>
      <w:r w:rsidRPr="00C1362F">
        <w:rPr>
          <w:rFonts w:eastAsia="Arial"/>
          <w:sz w:val="24"/>
        </w:rPr>
        <w:fldChar w:fldCharType="separate"/>
      </w:r>
      <w:r w:rsidRPr="00C1362F">
        <w:rPr>
          <w:rFonts w:eastAsia="Arial"/>
          <w:noProof/>
          <w:sz w:val="24"/>
        </w:rPr>
        <w:t>(Guerschman et al., 2003; Otunga et al., 2019; Wang et al., 2014)</w:t>
      </w:r>
      <w:r w:rsidRPr="00C1362F">
        <w:rPr>
          <w:rFonts w:eastAsia="Arial"/>
          <w:sz w:val="24"/>
        </w:rPr>
        <w:fldChar w:fldCharType="end"/>
      </w:r>
      <w:r>
        <w:rPr>
          <w:rFonts w:eastAsia="Arial"/>
          <w:sz w:val="24"/>
        </w:rPr>
        <w:t xml:space="preserve"> may help improve performance. Better capturing</w:t>
      </w:r>
      <w:r w:rsidRPr="00C1362F">
        <w:rPr>
          <w:rFonts w:eastAsia="Arial"/>
          <w:sz w:val="24"/>
        </w:rPr>
        <w:t xml:space="preserve"> </w:t>
      </w:r>
      <w:r>
        <w:rPr>
          <w:rFonts w:eastAsia="Arial"/>
          <w:sz w:val="24"/>
        </w:rPr>
        <w:t xml:space="preserve">management (e.g., </w:t>
      </w:r>
      <w:r w:rsidRPr="00C1362F">
        <w:rPr>
          <w:rFonts w:eastAsia="Arial"/>
          <w:sz w:val="24"/>
        </w:rPr>
        <w:t>grazing</w:t>
      </w:r>
      <w:r>
        <w:rPr>
          <w:rFonts w:eastAsia="Arial"/>
          <w:sz w:val="24"/>
        </w:rPr>
        <w:t xml:space="preserve"> and irrigation)</w:t>
      </w:r>
      <w:r w:rsidRPr="00C1362F">
        <w:rPr>
          <w:rFonts w:eastAsia="Arial"/>
          <w:sz w:val="24"/>
        </w:rPr>
        <w:t xml:space="preserve"> effects on vegetation growth </w:t>
      </w:r>
      <w:r w:rsidRPr="00C1362F">
        <w:rPr>
          <w:rFonts w:eastAsia="Arial"/>
          <w:sz w:val="24"/>
        </w:rPr>
        <w:fldChar w:fldCharType="begin" w:fldLock="1"/>
      </w:r>
      <w:r w:rsidRPr="00C1362F">
        <w:rPr>
          <w:rFonts w:eastAsia="Arial"/>
          <w:sz w:val="24"/>
        </w:rPr>
        <w:instrText>ADDIN CSL_CITATION {"citationItems":[{"id":"ITEM-1","itemData":{"DOI":"10.1371/journal.pone.0215223","ISSN":"19326203","PMID":"31009490","abstract":"Background Grazing has important influences on the structures and functions of grassland ecosystems, but the effects of grazing patterns on grassland biomass and soil environments in China remain unclear. Objective We employed a meta-analysis to identify the response of biomass and soil environments to different grazing patterns in China. Methods Peer-reviewed journal articles were searched using the Web of Science and China National Knowledge to compile a database. A total of 1011 sets of sample observations satisfied the sampling standards; these were derived from 140 study sites and were obtained from 86 published articles. We conducted random effects meta-analyses and calculated correlation coefficients with corresponding 95% confidence intervals. Results Grazing significantly decreased the total biomass, aboveground biomass (AGB), belowground biomass (BGB), soil organic matter, soil total nitrogen, soil total phosphorus and soil water content but increased the root-to-shoot ratio, soil available nitrogen, soil pH and bulk density. Generally, increasing grazing intensity and duration significantly increased the effects of grazing on the biomass and soil environment. Additionally, the smallest effects of grazing on the biomass and soil environments were observed under light grazing and cattle grazing alone. Moreover, non-growing season grazing significantly increased AGB, while annual grazing and growing-season grazing significantly reduced AGB. Furthermore, AGB was positively correlated with soil organic matter, soil available phosphorus and bulk density, while BGB was negatively correlated with pH. Conclusions These findings highlight the importance of grazing patterns in the biomass and soil environment response to grazing and suggest that cattle grazing alone and grazing during the nongrowing season are beneficial for improving the quality of grassland in China.","author":[{"dropping-particle":"","family":"Hao","given":"Yunqing","non-dropping-particle":"","parse-names":false,"suffix":""},{"dropping-particle":"","family":"He","given":"Zhengwei","non-dropping-particle":"","parse-names":false,"suffix":""}],"container-title":"PLoS ONE","id":"ITEM-1","issue":"4","issued":{"date-parts":[["2019"]]},"page":"e0215223","title":"Effects of grazing patterns on grassland biomass and soil environments in China: A meta-analysis","type":"article-journal","volume":"14"},"uris":["http://www.mendeley.com/documents/?uuid=f3f624a3-34ae-451d-9ab2-b5f7d2c32d85"]},{"id":"ITEM-2","itemData":{"DOI":"10.1016/j.agee.2022.108051","ISSN":"01678809","abstract":"Grazing considerably affects ecosystem nutrient cycling and element stoichiometry at the regional and global levels according to synthesized studies. However, the effects of grazing, especially its intensity, on the plant litter decomposition stage of key processes in biogeochemical cycles are not clearly understood. Here, a meta-analysis of 65 published papers was undertaken to examine the responses of eight variables associated with litter decomposition to grazing or grazing intensity. We also explored whether experimental and environmental factors altered the effects of grazing on litter decomposition. Our results indicated that grazing significantly promoted litter decomposition when all the data was averaged, and that the magnitude of its effects on litter decomposition became weaker as grazing intensity increased. Grazing did not affect mixed root litter decomposition, but increased single root litter decomposition, and light grazing had a stronger positive effect. Specifically, grazing significantly accelerated litter C and P release, and significantly increased single N release by single above-ground litter, but not root or mixed aboveground litter. In addition, environmental factors (e.g., elevation, and mean annual precipitation) and experimental factors (e.g., experiment duration and litterbag size) affected the litter decomposition responses to grazing. These results suggest that the effects of grazing on litter decomposition and nutrient release depend on grazing intensity, litter type, and plant organs. Grazing alters terrestrial plant litter decomposition and grazing intensity plays an important role in regulating the magnitude of the effect during litter decomposition and nutrient cycling.","author":[{"dropping-particle":"","family":"Su","given":"Yuan","non-dropping-particle":"","parse-names":false,"suffix":""},{"dropping-particle":"","family":"Dong","given":"Kuanhu","non-dropping-particle":"","parse-names":false,"suffix":""},{"dropping-particle":"","family":"Wang","given":"Changhui","non-dropping-particle":"","parse-names":false,"suffix":""},{"dropping-particle":"","family":"Liu","given":"Xuejun","non-dropping-particle":"","parse-names":false,"suffix":""}],"container-title":"Agriculture, Ecosystems and Environment","id":"ITEM-2","issued":{"date-parts":[["2022"]]},"page":"e108051","title":"Grazing promoted plant litter decomposition and nutrient release: A meta-analysis","type":"article-journal","volume":"337"},"uris":["http://www.mendeley.com/documents/?uuid=4c01a88e-210c-444c-96e9-7c587a16a314"]}],"mendeley":{"formattedCitation":"(Hao &amp; He, 2019; Su et al., 2022)","plainTextFormattedCitation":"(Hao &amp; He, 2019; Su et al., 2022)","previouslyFormattedCitation":"(Hao &amp; He, 2019; Su et al., 2022)"},"properties":{"noteIndex":0},"schema":"https://github.com/citation-style-language/schema/raw/master/csl-citation.json"}</w:instrText>
      </w:r>
      <w:r w:rsidRPr="00C1362F">
        <w:rPr>
          <w:rFonts w:eastAsia="Arial"/>
          <w:sz w:val="24"/>
        </w:rPr>
        <w:fldChar w:fldCharType="separate"/>
      </w:r>
      <w:r w:rsidRPr="00C1362F">
        <w:rPr>
          <w:rFonts w:eastAsia="Arial"/>
          <w:noProof/>
          <w:sz w:val="24"/>
        </w:rPr>
        <w:t>(Hao &amp; He, 2019; Su et al., 2022)</w:t>
      </w:r>
      <w:r w:rsidRPr="00C1362F">
        <w:rPr>
          <w:rFonts w:eastAsia="Arial"/>
          <w:sz w:val="24"/>
        </w:rPr>
        <w:fldChar w:fldCharType="end"/>
      </w:r>
      <w:r>
        <w:rPr>
          <w:rFonts w:eastAsia="Arial"/>
          <w:sz w:val="24"/>
        </w:rPr>
        <w:t xml:space="preserve">, litter quality </w:t>
      </w:r>
      <w:r>
        <w:rPr>
          <w:rFonts w:eastAsia="Arial"/>
          <w:sz w:val="24"/>
        </w:rPr>
        <w:fldChar w:fldCharType="begin" w:fldLock="1"/>
      </w:r>
      <w:r>
        <w:rPr>
          <w:rFonts w:eastAsia="Arial"/>
          <w:sz w:val="24"/>
        </w:rPr>
        <w:instrText>ADDIN CSL_CITATION {"citationItems":[{"id":"ITEM-1","itemData":{"DOI":"10.1016/j.isprsjprs.2020.03.017","ISSN":"09242716","abstract":"The carbon-nitrogen (C:N) ratio plays a crucial role in regulation of the nutrient utilization efficiency and growth rate of plants. However, challenges are faced when hyperspectral data are directly used to estimate the C:N ratio due to the lack of corresponding sensitive feature bands. This study aims to explore the feasibility of using important bands (IBs) determined for the C:N ratio and known absorption bands (KBs) of protein, chlorophyll, N, and carbon-containing compounds from hyperspectral measurements to estimate the forage C:N ratio. Random forest (RF) and support vector machine (SVM) algorithms are employed to establish a model for the estimation of the forage C:N ratio. The results show that the KBs exhibit good performance in estimating the forage C:N ratio (V-R2 of 0.70–0.80, with a mean of 0.77), and the IBs derived from the red and red-edge regions significantly contribute to the forage C:N ratio estimation, with V-R2 of 0.77–0.80. This study also demonstrates that the models based on combined bands (CBs) (the combination of KBs and IBs) slightly improve the accuracy of the forage C:N ratio estimation. Moreover, further optimization of the CBs produces satisfactory estimation of the forage C:N ratio (V-R2 = 0.82, V-RMSE = 5.53), explaining 85–92% of the variation in the forage C:N ratio at the different growth stages (May to November). Overall, the direct estimation of the forage C:N ratio in alpine grassland using hyperspectral feature bands is promising.","author":[{"dropping-particle":"","family":"Gao","given":"Jinlong","non-dropping-particle":"","parse-names":false,"suffix":""},{"dropping-particle":"","family":"Liang","given":"Tiangang","non-dropping-particle":"","parse-names":false,"suffix":""},{"dropping-particle":"","family":"Liu","given":"Jie","non-dropping-particle":"","parse-names":false,"suffix":""},{"dropping-particle":"","family":"Yin","given":"Jianpeng","non-dropping-particle":"","parse-names":false,"suffix":""},{"dropping-particle":"","family":"Ge","given":"Jing","non-dropping-particle":"","parse-names":false,"suffix":""},{"dropping-particle":"","family":"Hou","given":"Mengjing","non-dropping-particle":"","parse-names":false,"suffix":""},{"dropping-particle":"","family":"Feng","given":"Qisheng","non-dropping-particle":"","parse-names":false,"suffix":""},{"dropping-particle":"","family":"Wu","given":"Caixia","non-dropping-particle":"","parse-names":false,"suffix":""},{"dropping-particle":"","family":"Xie","given":"Hongjie","non-dropping-particle":"","parse-names":false,"suffix":""}],"container-title":"ISPRS Journal of Photogrammetry and Remote Sensing","id":"ITEM-1","issued":{"date-parts":[["2020"]]},"page":"362-374","title":"Potential of hyperspectral data and machine learning algorithms to estimate the forage carbon-nitrogen ratio in an alpine grassland ecosystem of the Tibetan Plateau","type":"article-journal","volume":"163"},"uris":["http://www.mendeley.com/documents/?uuid=4ba38463-e811-4b13-a7c0-0b31e34cbc9d"]}],"mendeley":{"formattedCitation":"(J. Gao et al., 2020)","manualFormatting":"(Gao et al., 2020)","plainTextFormattedCitation":"(J. Gao et al., 2020)","previouslyFormattedCitation":"(J. Gao et al., 2020)"},"properties":{"noteIndex":0},"schema":"https://github.com/citation-style-language/schema/raw/master/csl-citation.json"}</w:instrText>
      </w:r>
      <w:r>
        <w:rPr>
          <w:rFonts w:eastAsia="Arial"/>
          <w:sz w:val="24"/>
        </w:rPr>
        <w:fldChar w:fldCharType="separate"/>
      </w:r>
      <w:r w:rsidRPr="005879DA">
        <w:rPr>
          <w:rFonts w:eastAsia="Arial"/>
          <w:noProof/>
          <w:sz w:val="24"/>
        </w:rPr>
        <w:t>(Gao et al., 2020)</w:t>
      </w:r>
      <w:r>
        <w:rPr>
          <w:rFonts w:eastAsia="Arial"/>
          <w:sz w:val="24"/>
        </w:rPr>
        <w:fldChar w:fldCharType="end"/>
      </w:r>
      <w:r>
        <w:rPr>
          <w:rFonts w:eastAsia="Arial"/>
          <w:sz w:val="24"/>
        </w:rPr>
        <w:t>,</w:t>
      </w:r>
      <w:r w:rsidRPr="00C1362F">
        <w:rPr>
          <w:rFonts w:eastAsia="Arial"/>
          <w:sz w:val="24"/>
        </w:rPr>
        <w:t xml:space="preserve"> and SOC dynamics </w:t>
      </w:r>
      <w:r w:rsidRPr="00C1362F">
        <w:rPr>
          <w:rFonts w:eastAsia="Arial"/>
          <w:sz w:val="24"/>
        </w:rPr>
        <w:fldChar w:fldCharType="begin" w:fldLock="1"/>
      </w:r>
      <w:r>
        <w:rPr>
          <w:rFonts w:eastAsia="Arial"/>
          <w:sz w:val="24"/>
        </w:rPr>
        <w:instrText>ADDIN CSL_CITATION {"citationItems":[{"id":"ITEM-1","itemData":{"DOI":"10.1002/eap.1473","ISSN":"19395582","PMID":"27875004","abstract":"Grassland ecosystems cover a large portion of Earths' surface and contain substantial amounts of soil organic carbon. Previous work has established that these soil carbon stocks are sensitive to management and land use changes: grazing, species composition, and mineral nutrient availability can lead to losses or gains of soil carbon. Because of the large annual carbon fluxes into and out of grassland systems, there has been growing interest in how changes in management might shift the net balance of these flows, stemming losses from degrading grasslands or managing systems to increase soil carbon stocks (i.e., carbon sequestration). A synthesis published in 2001 assembled data from hundreds of studies to document soil carbon responses to changes in management. Here we present a new synthesis that has integrated data from the hundreds of studies published after our previous work. These new data largely confirm our earlier conclusions: improved grazing management, fertilization, sowing legumes and improved grass species, irrigation, and conversion from cultivation all tend to lead to increased soil C, at rates ranging from 0.105 to more than 1 Mg C·ha-1·yr-1. The new data include assessment of three new management practices: fire, silvopastoralism, and reclamation, although these studies are limited in number. The main area in which the new data are contrary to our previous synthesis is in conversion from native vegetation to grassland, where we find that across the studies the average rate of soil carbon stock change is low and not significant. The data in this synthesis confirm that improving grassland management practices and conversion from cropland to grassland improve soil carbon stocks.","author":[{"dropping-particle":"","family":"Conant","given":"Richard T.","non-dropping-particle":"","parse-names":false,"suffix":""},{"dropping-particle":"","family":"Cerri","given":"Carlos E.P.","non-dropping-particle":"","parse-names":false,"suffix":""},{"dropping-particle":"","family":"Osborne","given":"Brooke B.","non-dropping-particle":"","parse-names":false,"suffix":""},{"dropping-particle":"","family":"Paustian","given":"Keith","non-dropping-particle":"","parse-names":false,"suffix":""}],"container-title":"Ecological Applications","id":"ITEM-1","issue":"2","issued":{"date-parts":[["2017"]]},"page":"662-668","title":"Grassland management impacts on soil carbon stocks: A new synthesis: A","type":"article-journal","volume":"27"},"uris":["http://www.mendeley.com/documents/?uuid=3c01f3ee-b477-40ed-aec1-cbd925fc2f48"]},{"id":"ITEM-2","itemData":{"DOI":"10.1111/gcb.12144","ISSN":"13541013","PMID":"23504715","abstract":"Soils of grasslands represent a large potential reservoir for storing CO2, but this potential likely depends on how grasslands are managed for large mammal grazing. Previous studies found both strong positive and negative grazing effects on soil organic carbon (SOC) but explanations for this variation are poorly developed. Expanding on previous reviews, we performed a multifactorial meta-analysis of grazer effects on SOC density on 47 independent experimental contrasts from 17 studies. We explicitly tested hypotheses that grazer effects would shift from negative to positive with decreasing precipitation, increasing fineness of soil texture, transition from dominant grass species with C3 to C4 photosynthesis, and decreasing grazing intensity, after controlling for study duration and sampling depth. The six variables of soil texture, precipitation, grass type, grazing intensity, study duration, and sampling depth explained 85% of a large variation (±150 g m-2 yr-1) in grazing effects, and the best model included significant interactions between precipitation and soil texture (P = 0.002), grass type, and grazing intensity (P = 0.012), and study duration and soil sampling depth (P = 0.020). Specifically, an increase in mean annual precipitation of 600 mm resulted in a 24% decrease in grazer effect size on finer textured soils, while on sandy soils the same increase in precipitation produced a 22% increase in grazer effect on SOC. Increasing grazing intensity increased SOC by 6-7% on C4-dominated and C4-C3 mixed grasslands, but decreased SOC by an average 18% in C3-dominated grasslands. We discovered these patterns despite a lack of studies in natural, wildlife-dominated ecosystems, and tropical grasslands. Our results, which suggest a future focus on why C3 vs. C4-dominated grasslands differ so strongly in their response of SOC to grazing, show that grazer effects on SOC are highly context-specific and imply that grazers in different regions might be managed differently to help mitigate greenhouse gas emissions. © 2013 Blackwell Publishing Ltd.","author":[{"dropping-particle":"","family":"McSherry","given":"Megan E.","non-dropping-particle":"","parse-names":false,"suffix":""},{"dropping-particle":"","family":"Ritchie","given":"Mark E.","non-dropping-particle":"","parse-names":false,"suffix":""}],"container-title":"Global Change Biology","id":"ITEM-2","issue":"5","issued":{"date-parts":[["2013"]]},"page":"1347-1357","title":"Effects of grazing on grassland soil carbon: A global review","type":"article-journal","volume":"19"},"uris":["http://www.mendeley.com/documents/?uuid=1c08e19d-9fdd-4a1c-a92c-1f80ae802735"]},{"id":"ITEM-3","itemData":{"DOI":"10.2489/JSWC.75.1.5A","ISSN":"19413300","abstract":"Angelands have garnered attention for their potential to store carbon (C) and have been included in France's 4 per 1,000 initiative (Minasny et al. 2017), methods for maintaining or increasing C in grassland soils (American Carbon Registry 2013; Verified Carbon Standard 2017), and portfolios of natural climate solutions (Griscom et al. 2017; Fargione et al. 2018). Rangelands are used to graze livestock, and they provide habitat for species, C storage, and other environmental benefits. Rangelands cover nearly half the world's terrestrial surface and store up to 20% of the global soil organic C (Conant 2012). However, rangelands are being converted to other land uses such as cropland (Lark et al. 2015), housing, industry, transportation, and energy production. Approximately 600,000 ha (1.48 × 106 ac) of US rangelands were converted to other uses between 2007 and 2012, and another 360,000 ha (0.89 × 106 ac) between 2012 and 2015 (USDA 2018). Despite the increasing attention being given to soil C, some reports urging soil C management do not mention avoiding conversion (Lal 2019). We suggest that avoiding the loss of rangelands should be given more attention than it currently receives because it offers a well-established approach to retaining soil C along with the other ecosystems services that rangelands provide.","author":[{"dropping-particle":"","family":"Sanderson","given":"John S.","non-dropping-particle":"","parse-names":false,"suffix":""},{"dropping-particle":"","family":"Beutler","given":"Curtis","non-dropping-particle":"","parse-names":false,"suffix":""},{"dropping-particle":"","family":"Brown","given":"Joel R.","non-dropping-particle":"","parse-names":false,"suffix":""},{"dropping-particle":"","family":"Burke","given":"Indy","non-dropping-particle":"","parse-names":false,"suffix":""},{"dropping-particle":"","family":"Chapman","given":"Teresa","non-dropping-particle":"","parse-names":false,"suffix":""},{"dropping-particle":"","family":"Conant","given":"Richard T.","non-dropping-particle":"","parse-names":false,"suffix":""},{"dropping-particle":"","family":"Derner","given":"Justin D.","non-dropping-particle":"","parse-names":false,"suffix":""},{"dropping-particle":"","family":"Easter","given":"Mark","non-dropping-particle":"","parse-names":false,"suffix":""},{"dropping-particle":"","family":"Fuhlendorf","given":"Samuel D.","non-dropping-particle":"","parse-names":false,"suffix":""},{"dropping-particle":"","family":"Grissom","given":"Grady","non-dropping-particle":"","parse-names":false,"suffix":""},{"dropping-particle":"","family":"Herrick","given":"Jeffrey E.","non-dropping-particle":"","parse-names":false,"suffix":""},{"dropping-particle":"","family":"Liptzin","given":"Daniel","non-dropping-particle":"","parse-names":false,"suffix":""},{"dropping-particle":"","family":"Morgan","given":"Jack A.","non-dropping-particle":"","parse-names":false,"suffix":""},{"dropping-particle":"","family":"Murph","given":"Rachel","non-dropping-particle":"","parse-names":false,"suffix":""},{"dropping-particle":"","family":"Pague","given":"Chris","non-dropping-particle":"","parse-names":false,"suffix":""},{"dropping-particle":"","family":"Rangwala","given":"Imtiaz","non-dropping-particle":"","parse-names":false,"suffix":""},{"dropping-particle":"","family":"Ray","given":"David","non-dropping-particle":"","parse-names":false,"suffix":""},{"dropping-particle":"","family":"Rondeau","given":"Renee","non-dropping-particle":"","parse-names":false,"suffix":""},{"dropping-particle":"","family":"Schulz","given":"Terri","non-dropping-particle":"","parse-names":false,"suffix":""},{"dropping-particle":"","family":"Sullivan","given":"Tim","non-dropping-particle":"","parse-names":false,"suffix":""}],"container-title":"Journal of Soil and Water Conservation","id":"ITEM-3","issue":"1","issued":{"date-parts":[["2020"]]},"page":"5A-12A","title":"Cattle, conservation, and carbon in the western great plains","type":"article-journal","volume":"75"},"uris":["http://www.mendeley.com/documents/?uuid=9cad5059-9bfa-46a1-b95f-0a20acabcd77"]}],"mendeley":{"formattedCitation":"(Conant et al., 2017; McSherry &amp; Ritchie, 2013; Sanderson et al., 2020)","plainTextFormattedCitation":"(Conant et al., 2017; McSherry &amp; Ritchie, 2013; Sanderson et al., 2020)","previouslyFormattedCitation":"(Conant et al., 2017; McSherry &amp; Ritchie, 2013; Sanderson et al., 2020)"},"properties":{"noteIndex":0},"schema":"https://github.com/citation-style-language/schema/raw/master/csl-citation.json"}</w:instrText>
      </w:r>
      <w:r w:rsidRPr="00C1362F">
        <w:rPr>
          <w:rFonts w:eastAsia="Arial"/>
          <w:sz w:val="24"/>
        </w:rPr>
        <w:fldChar w:fldCharType="separate"/>
      </w:r>
      <w:r w:rsidRPr="00261FDE">
        <w:rPr>
          <w:rFonts w:eastAsia="Arial"/>
          <w:noProof/>
          <w:sz w:val="24"/>
        </w:rPr>
        <w:t>(Conant et al., 2017; McSherry &amp; Ritchie, 2013; Sanderson et al., 2020)</w:t>
      </w:r>
      <w:r w:rsidRPr="00C1362F">
        <w:rPr>
          <w:rFonts w:eastAsia="Arial"/>
          <w:sz w:val="24"/>
        </w:rPr>
        <w:fldChar w:fldCharType="end"/>
      </w:r>
      <w:r w:rsidRPr="00C1362F">
        <w:rPr>
          <w:rFonts w:eastAsia="Arial"/>
          <w:sz w:val="24"/>
        </w:rPr>
        <w:t xml:space="preserve"> </w:t>
      </w:r>
      <w:r>
        <w:rPr>
          <w:rFonts w:eastAsia="Times New Roman"/>
          <w:sz w:val="24"/>
          <w:szCs w:val="24"/>
        </w:rPr>
        <w:t>may also improve the models performance and applicability to managed livestock operations</w:t>
      </w:r>
      <w:r>
        <w:rPr>
          <w:rFonts w:eastAsia="Arial"/>
          <w:sz w:val="24"/>
        </w:rPr>
        <w:t>.</w:t>
      </w:r>
      <w:r w:rsidRPr="003116B0">
        <w:rPr>
          <w:rFonts w:eastAsia="Arial"/>
          <w:sz w:val="24"/>
        </w:rPr>
        <w:t xml:space="preserve"> </w:t>
      </w:r>
      <w:r>
        <w:rPr>
          <w:rFonts w:eastAsia="Arial"/>
          <w:sz w:val="24"/>
        </w:rPr>
        <w:t>For example, the</w:t>
      </w:r>
      <w:r w:rsidRPr="00C1362F">
        <w:rPr>
          <w:rFonts w:eastAsia="Arial"/>
          <w:sz w:val="24"/>
        </w:rPr>
        <w:t xml:space="preserve"> DNDC-type algorithms </w:t>
      </w:r>
      <w:r w:rsidRPr="00C1362F">
        <w:rPr>
          <w:rFonts w:eastAsia="Arial"/>
          <w:sz w:val="24"/>
        </w:rPr>
        <w:fldChar w:fldCharType="begin" w:fldLock="1"/>
      </w:r>
      <w:r w:rsidRPr="00C1362F">
        <w:rPr>
          <w:rFonts w:eastAsia="Arial"/>
          <w:sz w:val="24"/>
        </w:rPr>
        <w:instrText>ADDIN CSL_CITATION {"citationItems":[{"id":"ITEM-1","itemData":{"DOI":"10.1007/s10705-012-9507-z","ISSN":"13851314","abstract":"From the point of view of biogeochemistry, manure is a complex of organic matter containing minor minerals. When manure is excreted by animals, it undergoes a series of reactions such as decomposition, hydrolysis, ammonia volatilization, nitrification, denitrification, fermentation etc., from which carbon dioxide (CO 2), nitrous oxide (N 2O), methane (CH 4) and ammonia (NH 3) can be produced. Based on the principles of thermodynamics and reaction kinetics, these reactions are commonly controlled by a group of environmental factors such as temperature, moisture, redox potential, pH, substrate concentration gradient etc. The relations among the environmental factors, the reactions and the gas production have been incorporated in a process-based model, Manure-DNDC, to describe manure organic matter turnover and gas emissions. Using Manure-DNDC, the users can construct a virtual farm by selecting and integrating one or more of the candidate farm facilities (i. e., feedlot, compost, lagoon, anaerobic digester and cropping field) parameterized in the model. Manure-DNDC calculates variations of the environmental factors for each component facility based on its technical specifications, and then utilizes the environmental factors to drive the biogeochemical reactions. To verify the applicability of Manure-DNDC for livestock farms, seven datasets of air emissions measured from farms across the U. S. plus a Scotland pasture were utilized for model tests with encouraging results. A dairy farm in New York was used to assess the impacts of alternative management practices on the gas mitigation. The modeled results showed that a combination of changes in the feed quality, the lagoon coverage and the planted crop type could reduce greenhouse gas emission by 30 % and NH 3 by 36 % at the farm scale. © 2012 Springer Science+Business Media B.V.","author":[{"dropping-particle":"","family":"Li","given":"Changsheng","non-dropping-particle":"","parse-names":false,"suffix":""},{"dropping-particle":"","family":"Salas","given":"William","non-dropping-particle":"","parse-names":false,"suffix":""},{"dropping-particle":"","family":"Zhang","given":"Ruihong","non-dropping-particle":"","parse-names":false,"suffix":""},{"dropping-particle":"","family":"Krauter","given":"Charley","non-dropping-particle":"","parse-names":false,"suffix":""},{"dropping-particle":"","family":"Rotz","given":"Al","non-dropping-particle":"","parse-names":false,"suffix":""},{"dropping-particle":"","family":"Mitloehner","given":"Frank","non-dropping-particle":"","parse-names":false,"suffix":""}],"container-title":"Nutrient Cycling in Agroecosystems","id":"ITEM-1","issue":"2","issued":{"date-parts":[["2012"]]},"page":"163-200","title":"Manure-DNDC: A biogeochemical process model for quantifying greenhouse gas and ammonia emissions from livestock manure systems","type":"article-journal","volume":"93"},"uris":["http://www.mendeley.com/documents/?uuid=76b04a01-0737-4b7a-a8a3-dcedb20edf14"]}],"mendeley":{"formattedCitation":"(C. Li et al., 2012)","manualFormatting":"(Li et al., 2012)","plainTextFormattedCitation":"(C. Li et al., 2012)","previouslyFormattedCitation":"(C. Li et al., 2012)"},"properties":{"noteIndex":0},"schema":"https://github.com/citation-style-language/schema/raw/master/csl-citation.json"}</w:instrText>
      </w:r>
      <w:r w:rsidRPr="00C1362F">
        <w:rPr>
          <w:rFonts w:eastAsia="Arial"/>
          <w:sz w:val="24"/>
        </w:rPr>
        <w:fldChar w:fldCharType="separate"/>
      </w:r>
      <w:r w:rsidRPr="00C1362F">
        <w:rPr>
          <w:rFonts w:eastAsia="Arial"/>
          <w:noProof/>
          <w:sz w:val="24"/>
        </w:rPr>
        <w:t>(Li et al., 2012)</w:t>
      </w:r>
      <w:r w:rsidRPr="00C1362F">
        <w:rPr>
          <w:rFonts w:eastAsia="Arial"/>
          <w:sz w:val="24"/>
        </w:rPr>
        <w:fldChar w:fldCharType="end"/>
      </w:r>
      <w:r w:rsidRPr="00C1362F">
        <w:rPr>
          <w:rFonts w:eastAsia="Arial"/>
          <w:sz w:val="24"/>
        </w:rPr>
        <w:t xml:space="preserve"> </w:t>
      </w:r>
      <w:r>
        <w:rPr>
          <w:rFonts w:eastAsia="Arial"/>
          <w:sz w:val="24"/>
        </w:rPr>
        <w:t xml:space="preserve">can be incorporated </w:t>
      </w:r>
      <w:r w:rsidRPr="00C1362F">
        <w:rPr>
          <w:rFonts w:eastAsia="Arial"/>
          <w:sz w:val="24"/>
        </w:rPr>
        <w:t>to better describe the conversion from animal ingested biomass into manure and the partition of manure into SOM pools</w:t>
      </w:r>
      <w:r>
        <w:rPr>
          <w:rFonts w:eastAsia="Arial"/>
          <w:sz w:val="24"/>
        </w:rPr>
        <w:t xml:space="preserve">. The </w:t>
      </w:r>
      <w:r w:rsidRPr="00C1362F">
        <w:rPr>
          <w:rFonts w:eastAsia="Arial"/>
          <w:sz w:val="24"/>
        </w:rPr>
        <w:t xml:space="preserve">model calibration and validation </w:t>
      </w:r>
      <w:r>
        <w:rPr>
          <w:rFonts w:eastAsia="Arial"/>
          <w:sz w:val="24"/>
        </w:rPr>
        <w:t>can be further strengthened by taking advantage of datasets reflecting</w:t>
      </w:r>
      <w:r w:rsidRPr="00C1362F">
        <w:rPr>
          <w:rFonts w:eastAsia="Arial"/>
          <w:sz w:val="24"/>
        </w:rPr>
        <w:t xml:space="preserve"> long</w:t>
      </w:r>
      <w:r>
        <w:rPr>
          <w:rFonts w:eastAsia="Arial"/>
          <w:sz w:val="24"/>
        </w:rPr>
        <w:t>-</w:t>
      </w:r>
      <w:r w:rsidRPr="00C1362F">
        <w:rPr>
          <w:rFonts w:eastAsia="Arial"/>
          <w:sz w:val="24"/>
        </w:rPr>
        <w:t>term SOC stock changes</w:t>
      </w:r>
      <w:r>
        <w:rPr>
          <w:rFonts w:eastAsia="Arial"/>
          <w:sz w:val="24"/>
        </w:rPr>
        <w:t xml:space="preserve"> associated with grassland management</w:t>
      </w:r>
      <w:r w:rsidRPr="00C1362F">
        <w:rPr>
          <w:rFonts w:eastAsia="Arial"/>
          <w:sz w:val="24"/>
        </w:rPr>
        <w:t xml:space="preserve"> once such datasets become available through long-term monitoring networks</w:t>
      </w:r>
      <w:r>
        <w:rPr>
          <w:rFonts w:eastAsia="Arial"/>
          <w:sz w:val="24"/>
        </w:rPr>
        <w:t xml:space="preserve"> </w:t>
      </w:r>
      <w:r w:rsidRPr="00C1362F">
        <w:rPr>
          <w:rFonts w:eastAsia="Arial"/>
          <w:sz w:val="24"/>
        </w:rPr>
        <w:fldChar w:fldCharType="begin" w:fldLock="1"/>
      </w:r>
      <w:r w:rsidRPr="00C1362F">
        <w:rPr>
          <w:rFonts w:eastAsia="Arial"/>
          <w:sz w:val="24"/>
        </w:rPr>
        <w:instrText>ADDIN CSL_CITATION {"citationItems":[{"id":"ITEM-1","itemData":{"DOI":"10.1016/j.agee.2022.108258","ISSN":"01678809","abstract":"Long-term monitoring data on the evolution of soil organic carbon (SOC) content and soil stocks are crucial considering climate change and carbon sequestration. Due to the slow processes involved, it takes longer time spans until changes in SOC stocks become detectable. Thus, long-term monitoring is essential. Beside measurements, models are often used to report changes in SOC stocks for greenhouse gas (GHG) inventories. Consistent field data over extended periods are essential for validating such models whereby data from long-term monitoring is of great value. We present SOC measurements from the topsoil (uppermost 0.2 m) of 24 grassland sites of the Swiss Soil Monitoring Network (NABO) for six sampling campaigns from 1985 to 2014 and compare their evolution with predictions by the RothC model, which, for example, is used for the Swiss GHG Inventory. While there was no general temporal trend of the measured data over all sites, from a single site perspective, SOC stocks decreased/increased on 8% and 25% of the sites respectively. When comparing the measured data with the predictions from modelled values from RothC, a good fit was achieved in two thirds of the cases. However, at 5 out of the 24 sites (21%), the modelled SOC changes over time were lower than the measured ones. For 3 out of the 24 sites (12%) the model predicted higher SOC stock increases than were measured. Overall the modelled data fit well together with the measured ones. Most of the sites revealed stable values over time or increasing trends between 1985 and 2014, which might indicate that the SOC stocks potentially are in equilibrium and that the farming management used in Switzerland is suited to maintain these stocks in topsoils. There might not be a big potential for C sequestration, however, it is also very important to maintain SOC stocks over time. For future climate change scenarios accurate long-term SOC data and modelling are important for gathering the required information.","author":[{"dropping-particle":"","family":"Moll-Mielewczik","given":"Janine","non-dropping-particle":"","parse-names":false,"suffix":""},{"dropping-particle":"","family":"Keel","given":"Sonja G.","non-dropping-particle":"","parse-names":false,"suffix":""},{"dropping-particle":"","family":"Gubler","given":"Andreas","non-dropping-particle":"","parse-names":false,"suffix":""}],"container-title":"Agriculture, Ecosystems and Environment","id":"ITEM-1","issued":{"date-parts":[["2023"]]},"page":"e108258","title":"Organic carbon contents of mineral grassland soils in Switzerland over the last 30 years","type":"article-journal","volume":"342"},"uris":["http://www.mendeley.com/documents/?uuid=54de5557-9453-4f2b-aa05-dbbd17e8b4d6"]},{"id":"ITEM-2","itemData":{"DOI":"10.1016/j.agee.2015.07.014","ISSN":"01678809","author":[{"dropping-particle":"","family":"Chang","given":"Xiaofeng","non-dropping-particle":"","parse-names":false,"suffix":""},{"dropping-particle":"","family":"Bao","given":"Xiaoying","non-dropping-particle":"","parse-names":false,"suffix":""},{"dropping-particle":"","family":"Wang","given":"Shiping","non-dropping-particle":"","parse-names":false,"suffix":""},{"dropping-particle":"","family":"Wilkes","given":"Andreas","non-dropping-particle":"","parse-names":false,"suffix":""},{"dropping-particle":"","family":"Erdenetsetseg","given":"Baasandai","non-dropping-particle":"","parse-names":false,"suffix":""},{"dropping-particle":"","family":"Baival","given":"Batkhishig","non-dropping-particle":"","parse-names":false,"suffix":""},{"dropping-particle":"","family":"Avaadorj","given":"Danzan-osor","non-dropping-particle":"","parse-names":false,"suffix":""},{"dropping-particle":"","family":"Maisaikhan","given":"Temuujin","non-dropping-particle":"","parse-names":false,"suffix":""},{"dropping-particle":"","family":"Damdinsuren","given":"Bolormaa","non-dropping-particle":"","parse-names":false,"suffix":""}],"container-title":"Agriculture, Ecosystems &amp; Environment","id":"ITEM-2","issued":{"date-parts":[["2015","12"]]},"page":"278-284","title":"Simulating effects of grazing on soil organic carbon stocks in Mongolian grasslands","type":"article-journal","volume":"212"},"uris":["http://www.mendeley.com/documents/?uuid=f1899f9e-4d7b-4a25-863f-a0104538d6ef"]}],"mendeley":{"formattedCitation":"(Chang et al., 2015; Moll-Mielewczik et al., 2023)","plainTextFormattedCitation":"(Chang et al., 2015; Moll-Mielewczik et al., 2023)","previouslyFormattedCitation":"(Chang et al., 2015; Moll-Mielewczik et al., 2023)"},"properties":{"noteIndex":0},"schema":"https://github.com/citation-style-language/schema/raw/master/csl-citation.json"}</w:instrText>
      </w:r>
      <w:r w:rsidRPr="00C1362F">
        <w:rPr>
          <w:rFonts w:eastAsia="Arial"/>
          <w:sz w:val="24"/>
        </w:rPr>
        <w:fldChar w:fldCharType="separate"/>
      </w:r>
      <w:r w:rsidRPr="00C1362F">
        <w:rPr>
          <w:rFonts w:eastAsia="Arial"/>
          <w:noProof/>
          <w:sz w:val="24"/>
        </w:rPr>
        <w:t>(Chang et al., 2015; Moll-Mielewczik et al., 2023)</w:t>
      </w:r>
      <w:r w:rsidRPr="00C1362F">
        <w:rPr>
          <w:rFonts w:eastAsia="Arial"/>
          <w:sz w:val="24"/>
        </w:rPr>
        <w:fldChar w:fldCharType="end"/>
      </w:r>
      <w:r>
        <w:rPr>
          <w:rFonts w:eastAsia="Arial"/>
          <w:sz w:val="24"/>
        </w:rPr>
        <w:t>. Finally,</w:t>
      </w:r>
      <w:r w:rsidRPr="00C1362F">
        <w:rPr>
          <w:rFonts w:eastAsia="Arial"/>
          <w:sz w:val="24"/>
        </w:rPr>
        <w:t xml:space="preserve"> </w:t>
      </w:r>
      <w:r>
        <w:rPr>
          <w:rFonts w:eastAsia="Arial"/>
          <w:sz w:val="24"/>
        </w:rPr>
        <w:t>the RCTM needs to be further evaluated for</w:t>
      </w:r>
      <w:r w:rsidRPr="00C1362F">
        <w:rPr>
          <w:rFonts w:eastAsia="Arial"/>
          <w:sz w:val="24"/>
        </w:rPr>
        <w:t xml:space="preserve"> </w:t>
      </w:r>
      <w:r>
        <w:rPr>
          <w:rFonts w:eastAsia="Arial"/>
          <w:sz w:val="24"/>
        </w:rPr>
        <w:t>site</w:t>
      </w:r>
      <w:r w:rsidRPr="00C1362F">
        <w:rPr>
          <w:rFonts w:eastAsia="Arial"/>
          <w:sz w:val="24"/>
        </w:rPr>
        <w:t xml:space="preserve">-level estimates of rangeland productivity and C dynamics in order to inform management decisions by utilizing finer resolution data such as downscaled soil moisture datasets </w:t>
      </w:r>
      <w:r w:rsidRPr="00C1362F">
        <w:rPr>
          <w:rFonts w:eastAsia="Arial"/>
          <w:sz w:val="24"/>
        </w:rPr>
        <w:fldChar w:fldCharType="begin" w:fldLock="1"/>
      </w:r>
      <w:r w:rsidRPr="00C1362F">
        <w:rPr>
          <w:rFonts w:eastAsia="Arial"/>
          <w:sz w:val="24"/>
        </w:rPr>
        <w:instrText>ADDIN CSL_CITATION {"citationItems":[{"id":"ITEM-1","itemData":{"DOI":"10.7717/peerj.14275","ISSN":"2167-8359","author":[{"dropping-particle":"","family":"Xia","given":"Y","non-dropping-particle":"","parse-names":false,"suffix":""},{"dropping-particle":"","family":"Watts","given":"J.D.","non-dropping-particle":"","parse-names":false,"suffix":""},{"dropping-particle":"","family":"Machmuller","given":"Megan B.","non-dropping-particle":"","parse-names":false,"suffix":""},{"dropping-particle":"","family":"Sanderman","given":"Jonathan","non-dropping-particle":"","parse-names":false,"suffix":""}],"container-title":"PeerJ","id":"ITEM-1","issued":{"date-parts":[["2022","11","4"]]},"page":"e14275","title":"Machine learning based estimation of field-scale daily, high resolution, multi-depth soil moisture for the Western and Midwestern United States","type":"article-journal","volume":"10"},"uris":["http://www.mendeley.com/documents/?uuid=1c37bfdd-c1fb-43a8-919f-3cdbcd05c30e"]},{"id":"ITEM-2","itemData":{"DOI":"10.1109/IGARSS46834.2022.9883945","ISBN":"9781665427920","abstract":"Technologies such as radiometry, radar or synthetic aperture radar have demonstrated the potential of remote sensing to observe the Earth's land surface and estimate variables that influence the climate system. Among the remote sensed variables, soil moisture has be-come increasingly important as the impacts of climate change on water resources continue to intensify. Soil moisture products, nor-mally retrieved from microwave remote sensing data, are typically not suitable for regional hydrological and agricultural applications such as irrigation management and flood predictions, due to their coarse spatial resolution. Providing accurate information on soil moisture at an appropriate temporal and spatial scale is challenging for traditional interpolation methods, due to the high variability of soil moisture. Aiming to provide fine resolution soil moisture es-timations, in this paper we evaluate the performance of our proposed graph-based downscaling method to obtain fine resolution soil moisture data (9km) from coarse satellite observations (9km) using very fine resolution evapotranspiration data (30m). Our approach for-mulates the data interpolation problem as a signal reconstruction on a graph, where coarse soil moisture observations are signals at the nodes, while high resolution evapotranspiration data is used to compute the weights of the edges connecting the nodes.","author":[{"dropping-particle":"","family":"Garcia-Cardona","given":"Johanna","non-dropping-particle":"","parse-names":false,"suffix":""},{"dropping-particle":"","family":"Ortega","given":"Antonio","non-dropping-particle":"","parse-names":false,"suffix":""},{"dropping-particle":"","family":"Rodriguez-Alvarez","given":"Nereida","non-dropping-particle":"","parse-names":false,"suffix":""}],"container-title":"International Geoscience and Remote Sensing Symposium (IGARSS)","id":"ITEM-2","issued":{"date-parts":[["2022"]]},"page":"6169-6172","title":"Downscaling SMAP soil moisture with Ecostress products using a graph-based interpolation method","type":"article-journal","volume":"7"},"uris":["http://www.mendeley.com/documents/?uuid=c299be17-af77-4d3e-9ad8-0c8dbbf970d9"]}],"mendeley":{"formattedCitation":"(Garcia-Cardona et al., 2022; Y Xia et al., 2022)","manualFormatting":"(Garcia-Cardona et al., 2022; Xia et al., 2022)","plainTextFormattedCitation":"(Garcia-Cardona et al., 2022; Y Xia et al., 2022)","previouslyFormattedCitation":"(Garcia-Cardona et al., 2022; Y Xia et al., 2022)"},"properties":{"noteIndex":0},"schema":"https://github.com/citation-style-language/schema/raw/master/csl-citation.json"}</w:instrText>
      </w:r>
      <w:r w:rsidRPr="00C1362F">
        <w:rPr>
          <w:rFonts w:eastAsia="Arial"/>
          <w:sz w:val="24"/>
        </w:rPr>
        <w:fldChar w:fldCharType="separate"/>
      </w:r>
      <w:r w:rsidRPr="00C1362F">
        <w:rPr>
          <w:rFonts w:eastAsia="Arial"/>
          <w:noProof/>
          <w:sz w:val="24"/>
        </w:rPr>
        <w:t>(Garcia-Cardona et al., 2022; Xia et al., 2022)</w:t>
      </w:r>
      <w:r w:rsidRPr="00C1362F">
        <w:rPr>
          <w:rFonts w:eastAsia="Arial"/>
          <w:sz w:val="24"/>
        </w:rPr>
        <w:fldChar w:fldCharType="end"/>
      </w:r>
      <w:r w:rsidRPr="00C1362F">
        <w:rPr>
          <w:rFonts w:eastAsia="Arial"/>
          <w:sz w:val="24"/>
        </w:rPr>
        <w:t xml:space="preserve"> as model inputs, and strategically selected local field samples for improved model calibration and validation.</w:t>
      </w:r>
    </w:p>
    <w:p w14:paraId="747475EA" w14:textId="77777777" w:rsidR="00E77D36" w:rsidRDefault="00E77D36" w:rsidP="00E77D36">
      <w:pPr>
        <w:spacing w:before="120"/>
      </w:pPr>
    </w:p>
    <w:p w14:paraId="69D87446" w14:textId="626865D1" w:rsidR="002F3B11" w:rsidRDefault="002F3B11" w:rsidP="00E77D36">
      <w:pPr>
        <w:pStyle w:val="Heading-Main"/>
        <w:spacing w:before="120" w:after="0"/>
      </w:pPr>
      <w:r>
        <w:t>5 Conclusions</w:t>
      </w:r>
    </w:p>
    <w:p w14:paraId="78D79070" w14:textId="77777777" w:rsidR="00E77D36" w:rsidRPr="00C1362F" w:rsidRDefault="00E77D36" w:rsidP="005932B1">
      <w:pPr>
        <w:spacing w:before="120"/>
        <w:ind w:firstLine="720"/>
        <w:jc w:val="both"/>
        <w:rPr>
          <w:rFonts w:eastAsia="Arial"/>
          <w:sz w:val="24"/>
        </w:rPr>
      </w:pPr>
      <w:r w:rsidRPr="00C1362F">
        <w:rPr>
          <w:rFonts w:eastAsia="Arial"/>
          <w:sz w:val="24"/>
        </w:rPr>
        <w:t xml:space="preserve">The RCTM system is one of the first efforts to combine RS-driven LUE model outputs with a process-based soil model for the estimation of C dynamics and SOC stocks in </w:t>
      </w:r>
      <w:r>
        <w:rPr>
          <w:rFonts w:eastAsia="Arial"/>
          <w:sz w:val="24"/>
        </w:rPr>
        <w:t>rangeland</w:t>
      </w:r>
      <w:r w:rsidRPr="00C1362F">
        <w:rPr>
          <w:rFonts w:eastAsia="Arial"/>
          <w:sz w:val="24"/>
        </w:rPr>
        <w:t xml:space="preserve"> systems. </w:t>
      </w:r>
      <w:r>
        <w:rPr>
          <w:rFonts w:eastAsia="Arial"/>
          <w:sz w:val="24"/>
        </w:rPr>
        <w:t xml:space="preserve">There is a potential to apply the system to estimate rangeland productivity and soil C dynamics for other regions of the world, after the system is calibrated and validated with datasets representing the application domain. </w:t>
      </w:r>
      <w:r w:rsidRPr="00C1362F">
        <w:rPr>
          <w:rFonts w:eastAsia="Arial"/>
          <w:sz w:val="24"/>
        </w:rPr>
        <w:t xml:space="preserve">The major advantages of RCTM include: (1) Applicability in situations where </w:t>
      </w:r>
      <w:r>
        <w:rPr>
          <w:rFonts w:eastAsia="Arial"/>
          <w:sz w:val="24"/>
        </w:rPr>
        <w:t xml:space="preserve">rangeland </w:t>
      </w:r>
      <w:r w:rsidRPr="00C1362F">
        <w:rPr>
          <w:rFonts w:eastAsia="Arial"/>
          <w:sz w:val="24"/>
        </w:rPr>
        <w:t>management data</w:t>
      </w:r>
      <w:r>
        <w:rPr>
          <w:rFonts w:eastAsia="Arial"/>
          <w:sz w:val="24"/>
        </w:rPr>
        <w:t>sets</w:t>
      </w:r>
      <w:r w:rsidRPr="00C1362F">
        <w:rPr>
          <w:rFonts w:eastAsia="Arial"/>
          <w:sz w:val="24"/>
        </w:rPr>
        <w:t xml:space="preserve">, such as grazing intensity and duration, </w:t>
      </w:r>
      <w:r>
        <w:rPr>
          <w:rFonts w:eastAsia="Arial"/>
          <w:sz w:val="24"/>
        </w:rPr>
        <w:t>are</w:t>
      </w:r>
      <w:r w:rsidRPr="00C1362F">
        <w:rPr>
          <w:rFonts w:eastAsia="Arial"/>
          <w:sz w:val="24"/>
        </w:rPr>
        <w:t xml:space="preserve"> unavailable; (2) Capability to estimate long-term (20 years or more) rangeland C dynamics influenced by management and climate conditions; (3) Flexibility in the parameterization procedure which would allow continuous model improvement as new flux tower and SOC data become available; (4) Scalability in terms of its potential to be applied to different </w:t>
      </w:r>
      <w:r>
        <w:rPr>
          <w:rFonts w:eastAsia="Arial"/>
          <w:sz w:val="24"/>
        </w:rPr>
        <w:t xml:space="preserve">temporal </w:t>
      </w:r>
      <w:r w:rsidRPr="00C1362F">
        <w:rPr>
          <w:rFonts w:eastAsia="Arial"/>
          <w:sz w:val="24"/>
        </w:rPr>
        <w:t>scales</w:t>
      </w:r>
      <w:r>
        <w:rPr>
          <w:rFonts w:eastAsia="Arial"/>
          <w:sz w:val="24"/>
        </w:rPr>
        <w:t xml:space="preserve"> and local or regional extents</w:t>
      </w:r>
      <w:r w:rsidRPr="00C1362F">
        <w:rPr>
          <w:rFonts w:eastAsia="Arial"/>
          <w:sz w:val="24"/>
        </w:rPr>
        <w:t xml:space="preserve"> at </w:t>
      </w:r>
      <w:r>
        <w:rPr>
          <w:rFonts w:eastAsia="Arial"/>
          <w:sz w:val="24"/>
        </w:rPr>
        <w:t>relatively</w:t>
      </w:r>
      <w:r w:rsidRPr="00C1362F">
        <w:rPr>
          <w:rFonts w:eastAsia="Arial"/>
          <w:sz w:val="24"/>
        </w:rPr>
        <w:t xml:space="preserve"> high spatial resolution (30 m)</w:t>
      </w:r>
      <w:r>
        <w:rPr>
          <w:rFonts w:eastAsia="Arial"/>
          <w:sz w:val="24"/>
        </w:rPr>
        <w:t xml:space="preserve"> that would be relevant to management</w:t>
      </w:r>
      <w:r w:rsidRPr="00C1362F">
        <w:rPr>
          <w:rFonts w:eastAsia="Arial"/>
          <w:sz w:val="24"/>
        </w:rPr>
        <w:t xml:space="preserve">. The regional estimates of rangeland productivity and SOC sequestration trends obtained from this work (e.g., increase in GPP and SOC tied to climate pattern) can be used to inform policy making and </w:t>
      </w:r>
      <w:r>
        <w:rPr>
          <w:rFonts w:eastAsia="Arial"/>
          <w:sz w:val="24"/>
        </w:rPr>
        <w:t>are</w:t>
      </w:r>
      <w:r w:rsidRPr="00C1362F">
        <w:rPr>
          <w:rFonts w:eastAsia="Arial"/>
          <w:sz w:val="24"/>
        </w:rPr>
        <w:t xml:space="preserve"> suited to improve large scale rangeland C monitoring efforts, while it should also be possible to apply RCTM at the </w:t>
      </w:r>
      <w:r>
        <w:rPr>
          <w:rFonts w:eastAsia="Arial"/>
          <w:sz w:val="24"/>
        </w:rPr>
        <w:t>site</w:t>
      </w:r>
      <w:r w:rsidRPr="00C1362F">
        <w:rPr>
          <w:rFonts w:eastAsia="Arial"/>
          <w:sz w:val="24"/>
        </w:rPr>
        <w:t xml:space="preserve"> level (individual operations) to improve management decisions, after </w:t>
      </w:r>
      <w:r>
        <w:rPr>
          <w:rFonts w:eastAsia="Arial"/>
          <w:sz w:val="24"/>
        </w:rPr>
        <w:t>parameterizing and verifying the system</w:t>
      </w:r>
      <w:r w:rsidRPr="00C1362F">
        <w:rPr>
          <w:rFonts w:eastAsia="Arial"/>
          <w:sz w:val="24"/>
        </w:rPr>
        <w:t xml:space="preserve"> using site-level observations. </w:t>
      </w:r>
      <w:r>
        <w:rPr>
          <w:rFonts w:eastAsia="Arial"/>
          <w:sz w:val="24"/>
        </w:rPr>
        <w:t xml:space="preserve">High resolution, quality-controlled RS datasets and field observations capturing </w:t>
      </w:r>
      <w:r>
        <w:rPr>
          <w:rFonts w:eastAsia="Arial"/>
          <w:sz w:val="24"/>
        </w:rPr>
        <w:lastRenderedPageBreak/>
        <w:t xml:space="preserve">management effects on rangeland dynamics are essential to support the continuous improvement of RCTM and other RS-driven process-based modeling systems for rangeland C monitoring. </w:t>
      </w:r>
    </w:p>
    <w:p w14:paraId="79416912" w14:textId="77777777" w:rsidR="00834E28" w:rsidRDefault="00834E28" w:rsidP="00834E28"/>
    <w:p w14:paraId="3BB30AAB" w14:textId="1A9FA31E" w:rsidR="00995CAA" w:rsidRPr="00995CAA" w:rsidRDefault="00995CAA" w:rsidP="00E77D36">
      <w:pPr>
        <w:shd w:val="clear" w:color="auto" w:fill="FFFFFF"/>
        <w:spacing w:before="120"/>
        <w:rPr>
          <w:rFonts w:eastAsia="Times New Roman"/>
          <w:sz w:val="24"/>
          <w:szCs w:val="24"/>
        </w:rPr>
      </w:pPr>
      <w:r w:rsidRPr="00995CAA">
        <w:rPr>
          <w:rFonts w:eastAsia="Times New Roman"/>
          <w:b/>
          <w:bCs/>
          <w:color w:val="262626"/>
          <w:sz w:val="24"/>
          <w:szCs w:val="24"/>
        </w:rPr>
        <w:t>Acknowledgments</w:t>
      </w:r>
    </w:p>
    <w:p w14:paraId="5EAD0807" w14:textId="72F21383" w:rsidR="00995CAA" w:rsidRPr="00995CAA" w:rsidRDefault="00E77D36" w:rsidP="00636742">
      <w:pPr>
        <w:shd w:val="clear" w:color="auto" w:fill="FFFFFF"/>
        <w:spacing w:before="120"/>
        <w:ind w:firstLine="720"/>
        <w:jc w:val="both"/>
        <w:rPr>
          <w:rFonts w:eastAsia="Times New Roman"/>
          <w:sz w:val="24"/>
          <w:szCs w:val="24"/>
        </w:rPr>
      </w:pPr>
      <w:r w:rsidRPr="00E77D36">
        <w:rPr>
          <w:rFonts w:eastAsia="Times New Roman"/>
          <w:color w:val="262626"/>
          <w:sz w:val="24"/>
          <w:szCs w:val="24"/>
        </w:rPr>
        <w:t>This research was supported by Conscience Bay Research, Woodwell Fund for Climate Solutions, Mighty Arrow Family Foundation, and J.M. Kaplan Fund. The authors extend their sincere gratitude to Ameriflux and NEON network PIs including Dr. Kimberly Novick, Dr. David Durden, Dr. Chris Florian, Dr. Cove Sturtevant, Dr. Stefan Metzger, Dr. David Bowling, Dr. Dennis Baldocchi, Dr. Camilo Rey-Sanchez, Dr. Sonia Wharton, Dr. Thomas Kolb, Dr. Sabina Dore, Dr. Dean Anderson, Dr. Elise Pendall, Dr. Mike Goulden, Dr. Roser Matamala, and Ross Bryant, for maintaining the sites and providing flux tower measurements. AmeriFlux is funded by the U.S. Department of Energy’s Office of Science. Additional funding for a number of AmeriFlux sites in Arizona, New Mexico and Idaho comes from the U.S. Department of Agriculture’s Long-term Agroecosystem Network. The National Ecological Observatory Network is a program sponsored by the National Science Foundation and operated under cooperative agreement by Battelle. The authors are also deeply grateful for the feedback and suggestions provided by Dr. Francesca Cotrufo for this project.</w:t>
      </w:r>
    </w:p>
    <w:p w14:paraId="6119FAA2"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sz w:val="24"/>
          <w:szCs w:val="24"/>
        </w:rPr>
        <w:t> </w:t>
      </w:r>
    </w:p>
    <w:p w14:paraId="3CB0FA2F"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t>Open Research</w:t>
      </w:r>
    </w:p>
    <w:p w14:paraId="3A8023EA" w14:textId="74829272" w:rsidR="00995CAA" w:rsidRPr="008977EB" w:rsidRDefault="008977EB" w:rsidP="008977EB">
      <w:pPr>
        <w:shd w:val="clear" w:color="auto" w:fill="FFFFFF"/>
        <w:rPr>
          <w:rFonts w:eastAsia="Times New Roman"/>
          <w:color w:val="262626"/>
          <w:sz w:val="24"/>
          <w:szCs w:val="24"/>
        </w:rPr>
      </w:pPr>
      <w:r w:rsidRPr="008977EB">
        <w:rPr>
          <w:rFonts w:eastAsia="Times New Roman"/>
          <w:color w:val="262626"/>
          <w:sz w:val="24"/>
          <w:szCs w:val="24"/>
        </w:rPr>
        <w:t xml:space="preserve">The </w:t>
      </w:r>
      <w:r>
        <w:rPr>
          <w:rFonts w:eastAsia="Times New Roman"/>
          <w:color w:val="262626"/>
          <w:sz w:val="24"/>
          <w:szCs w:val="24"/>
        </w:rPr>
        <w:t>codes</w:t>
      </w:r>
      <w:r w:rsidRPr="008977EB">
        <w:rPr>
          <w:rFonts w:eastAsia="Times New Roman"/>
          <w:color w:val="262626"/>
          <w:sz w:val="24"/>
          <w:szCs w:val="24"/>
        </w:rPr>
        <w:t xml:space="preserve"> used </w:t>
      </w:r>
      <w:r>
        <w:rPr>
          <w:rFonts w:eastAsia="Times New Roman"/>
          <w:color w:val="262626"/>
          <w:sz w:val="24"/>
          <w:szCs w:val="24"/>
        </w:rPr>
        <w:t>to develop the Rangeland Carbon Tracking and Monitoring system</w:t>
      </w:r>
      <w:r w:rsidRPr="008977EB">
        <w:rPr>
          <w:rFonts w:eastAsia="Times New Roman"/>
          <w:color w:val="262626"/>
          <w:sz w:val="24"/>
          <w:szCs w:val="24"/>
        </w:rPr>
        <w:t xml:space="preserve"> in the study </w:t>
      </w:r>
      <w:r w:rsidR="005C7DEB">
        <w:rPr>
          <w:rFonts w:eastAsia="Times New Roman"/>
          <w:color w:val="262626"/>
          <w:sz w:val="24"/>
          <w:szCs w:val="24"/>
        </w:rPr>
        <w:t>are</w:t>
      </w:r>
      <w:r>
        <w:rPr>
          <w:rFonts w:eastAsia="Times New Roman"/>
          <w:color w:val="262626"/>
          <w:sz w:val="24"/>
          <w:szCs w:val="24"/>
        </w:rPr>
        <w:t xml:space="preserve"> made</w:t>
      </w:r>
      <w:r w:rsidRPr="008977EB">
        <w:rPr>
          <w:rFonts w:eastAsia="Times New Roman"/>
          <w:color w:val="262626"/>
          <w:sz w:val="24"/>
          <w:szCs w:val="24"/>
        </w:rPr>
        <w:t xml:space="preserve"> </w:t>
      </w:r>
      <w:r>
        <w:rPr>
          <w:rFonts w:eastAsia="Times New Roman"/>
          <w:color w:val="262626"/>
          <w:sz w:val="24"/>
          <w:szCs w:val="24"/>
        </w:rPr>
        <w:t xml:space="preserve">publicly </w:t>
      </w:r>
      <w:r w:rsidRPr="008977EB">
        <w:rPr>
          <w:rFonts w:eastAsia="Times New Roman"/>
          <w:color w:val="262626"/>
          <w:sz w:val="24"/>
          <w:szCs w:val="24"/>
        </w:rPr>
        <w:t xml:space="preserve">available at </w:t>
      </w:r>
      <w:r>
        <w:rPr>
          <w:rFonts w:eastAsia="Times New Roman"/>
          <w:color w:val="262626"/>
          <w:sz w:val="24"/>
          <w:szCs w:val="24"/>
        </w:rPr>
        <w:t>Github</w:t>
      </w:r>
      <w:r w:rsidR="005C7DEB">
        <w:rPr>
          <w:rFonts w:eastAsia="Times New Roman"/>
          <w:color w:val="262626"/>
          <w:sz w:val="24"/>
          <w:szCs w:val="24"/>
        </w:rPr>
        <w:t xml:space="preserve">: </w:t>
      </w:r>
      <w:r w:rsidR="005C7DEB" w:rsidRPr="005C7DEB">
        <w:rPr>
          <w:rFonts w:eastAsia="Times New Roman"/>
          <w:color w:val="262626"/>
          <w:sz w:val="24"/>
          <w:szCs w:val="24"/>
        </w:rPr>
        <w:t>https://github.com/xiayushu/RCTM-soil-carbon</w:t>
      </w:r>
      <w:r w:rsidR="005C7DEB">
        <w:rPr>
          <w:rFonts w:eastAsia="Times New Roman"/>
          <w:color w:val="262626"/>
          <w:sz w:val="24"/>
          <w:szCs w:val="24"/>
        </w:rPr>
        <w:t>.</w:t>
      </w:r>
    </w:p>
    <w:p w14:paraId="60EE9568" w14:textId="77777777" w:rsidR="00995CAA" w:rsidRPr="00995CAA" w:rsidRDefault="00995CAA" w:rsidP="00995CAA">
      <w:pPr>
        <w:shd w:val="clear" w:color="auto" w:fill="FFFFFF"/>
        <w:spacing w:line="480" w:lineRule="auto"/>
        <w:rPr>
          <w:rFonts w:eastAsia="Times New Roman"/>
          <w:sz w:val="24"/>
          <w:szCs w:val="24"/>
        </w:rPr>
      </w:pPr>
      <w:r w:rsidRPr="00995CAA">
        <w:rPr>
          <w:rFonts w:eastAsia="Times New Roman"/>
          <w:b/>
          <w:bCs/>
          <w:color w:val="262626"/>
          <w:sz w:val="24"/>
          <w:szCs w:val="24"/>
        </w:rPr>
        <w:t> </w:t>
      </w:r>
    </w:p>
    <w:p w14:paraId="3BE6A8F9" w14:textId="77777777" w:rsidR="00995CAA" w:rsidRPr="00995CAA" w:rsidRDefault="00995CAA" w:rsidP="005B7633">
      <w:pPr>
        <w:shd w:val="clear" w:color="auto" w:fill="FFFFFF"/>
        <w:rPr>
          <w:rFonts w:eastAsia="Times New Roman"/>
          <w:sz w:val="24"/>
          <w:szCs w:val="24"/>
        </w:rPr>
      </w:pPr>
      <w:r w:rsidRPr="00995CAA">
        <w:rPr>
          <w:rFonts w:eastAsia="Times New Roman"/>
          <w:b/>
          <w:bCs/>
          <w:color w:val="262626"/>
          <w:sz w:val="24"/>
          <w:szCs w:val="24"/>
        </w:rPr>
        <w:t>References</w:t>
      </w:r>
    </w:p>
    <w:p w14:paraId="43D6508B" w14:textId="74FB22F6" w:rsidR="005B7633" w:rsidRPr="009F4EE3" w:rsidRDefault="005B7633" w:rsidP="005B7633">
      <w:pPr>
        <w:widowControl w:val="0"/>
        <w:autoSpaceDE w:val="0"/>
        <w:autoSpaceDN w:val="0"/>
        <w:adjustRightInd w:val="0"/>
        <w:ind w:left="480" w:hanging="480"/>
        <w:rPr>
          <w:noProof/>
          <w:sz w:val="24"/>
        </w:rPr>
      </w:pPr>
      <w:r w:rsidRPr="00C1362F">
        <w:rPr>
          <w:rFonts w:eastAsia="Arial"/>
          <w:sz w:val="24"/>
        </w:rPr>
        <w:fldChar w:fldCharType="begin" w:fldLock="1"/>
      </w:r>
      <w:r w:rsidRPr="00C1362F">
        <w:rPr>
          <w:rFonts w:eastAsia="Arial"/>
          <w:sz w:val="24"/>
        </w:rPr>
        <w:instrText xml:space="preserve">ADDIN Mendeley Bibliography CSL_BIBLIOGRAPHY </w:instrText>
      </w:r>
      <w:r w:rsidRPr="00C1362F">
        <w:rPr>
          <w:rFonts w:eastAsia="Arial"/>
          <w:sz w:val="24"/>
        </w:rPr>
        <w:fldChar w:fldCharType="separate"/>
      </w:r>
      <w:r w:rsidRPr="009F4EE3">
        <w:rPr>
          <w:noProof/>
          <w:sz w:val="24"/>
        </w:rPr>
        <w:t xml:space="preserve">Abdalla, M., Saunders, M., Hastings, A., Williams, M., Smith, P., Osborne, B., et al. (2013). Simulating the impacts of land use in Northwest Europe on Net Ecosystem Exchange (NEE): The role of arable ecosystems, grasslands and forest plantations in climate change mitigation. </w:t>
      </w:r>
      <w:r w:rsidRPr="009F4EE3">
        <w:rPr>
          <w:i/>
          <w:iCs/>
          <w:noProof/>
          <w:sz w:val="24"/>
        </w:rPr>
        <w:t>Science of The Total Environment</w:t>
      </w:r>
      <w:r w:rsidRPr="009F4EE3">
        <w:rPr>
          <w:noProof/>
          <w:sz w:val="24"/>
        </w:rPr>
        <w:t xml:space="preserve">, </w:t>
      </w:r>
      <w:r w:rsidRPr="009F4EE3">
        <w:rPr>
          <w:i/>
          <w:iCs/>
          <w:noProof/>
          <w:sz w:val="24"/>
        </w:rPr>
        <w:t>465</w:t>
      </w:r>
      <w:r w:rsidRPr="009F4EE3">
        <w:rPr>
          <w:noProof/>
          <w:sz w:val="24"/>
        </w:rPr>
        <w:t>, 325–336. https://doi.org/10.1016/j.scitotenv.2012.12.030</w:t>
      </w:r>
    </w:p>
    <w:p w14:paraId="0FDCB44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Ali, I., Cawkwell, F., Dwyer, E., Barrett, B., &amp; Green, S. (2016). Satellite remote sensing of grasslands: From observation to management. </w:t>
      </w:r>
      <w:r w:rsidRPr="009F4EE3">
        <w:rPr>
          <w:i/>
          <w:iCs/>
          <w:noProof/>
          <w:sz w:val="24"/>
        </w:rPr>
        <w:t>Journal of Plant Ecology</w:t>
      </w:r>
      <w:r w:rsidRPr="009F4EE3">
        <w:rPr>
          <w:noProof/>
          <w:sz w:val="24"/>
        </w:rPr>
        <w:t xml:space="preserve">, </w:t>
      </w:r>
      <w:r w:rsidRPr="009F4EE3">
        <w:rPr>
          <w:i/>
          <w:iCs/>
          <w:noProof/>
          <w:sz w:val="24"/>
        </w:rPr>
        <w:t>9</w:t>
      </w:r>
      <w:r w:rsidRPr="009F4EE3">
        <w:rPr>
          <w:noProof/>
          <w:sz w:val="24"/>
        </w:rPr>
        <w:t>(6), 649–671. https://doi.org/10.1093/jpe/rtw005</w:t>
      </w:r>
    </w:p>
    <w:p w14:paraId="20FD8C3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Arndt, K. A., Campbell, E. E., Dorich, C. D., Grandy, A. S., Griffin, T. S., Ingraham, P., et al. (2022). Initial soil conditions outweigh management in a cool-season dairy farm’s carbon sequestration potential. </w:t>
      </w:r>
      <w:r w:rsidRPr="009F4EE3">
        <w:rPr>
          <w:i/>
          <w:iCs/>
          <w:noProof/>
          <w:sz w:val="24"/>
        </w:rPr>
        <w:t>Science of the Total Environment</w:t>
      </w:r>
      <w:r w:rsidRPr="009F4EE3">
        <w:rPr>
          <w:noProof/>
          <w:sz w:val="24"/>
        </w:rPr>
        <w:t xml:space="preserve">, </w:t>
      </w:r>
      <w:r w:rsidRPr="009F4EE3">
        <w:rPr>
          <w:i/>
          <w:iCs/>
          <w:noProof/>
          <w:sz w:val="24"/>
        </w:rPr>
        <w:t>809</w:t>
      </w:r>
      <w:r w:rsidRPr="009F4EE3">
        <w:rPr>
          <w:noProof/>
          <w:sz w:val="24"/>
        </w:rPr>
        <w:t>, e152195. https://doi.org/10.1016/j.scitotenv.2021.152195</w:t>
      </w:r>
    </w:p>
    <w:p w14:paraId="39FA0F0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Badgley, G., Anderegg, L. D. L., Berry, J. A., &amp; Field, C. B. (2019). Terrestrial gross primary production: Using NIR</w:t>
      </w:r>
      <w:r w:rsidRPr="009F4EE3">
        <w:rPr>
          <w:noProof/>
          <w:sz w:val="24"/>
          <w:vertAlign w:val="subscript"/>
        </w:rPr>
        <w:t>V</w:t>
      </w:r>
      <w:r w:rsidRPr="009F4EE3">
        <w:rPr>
          <w:noProof/>
          <w:sz w:val="24"/>
        </w:rPr>
        <w:t xml:space="preserve"> to scale from site to globe. </w:t>
      </w:r>
      <w:r w:rsidRPr="009F4EE3">
        <w:rPr>
          <w:i/>
          <w:iCs/>
          <w:noProof/>
          <w:sz w:val="24"/>
        </w:rPr>
        <w:t>Global Change Biology</w:t>
      </w:r>
      <w:r w:rsidRPr="009F4EE3">
        <w:rPr>
          <w:noProof/>
          <w:sz w:val="24"/>
        </w:rPr>
        <w:t xml:space="preserve">, </w:t>
      </w:r>
      <w:r w:rsidRPr="009F4EE3">
        <w:rPr>
          <w:i/>
          <w:iCs/>
          <w:noProof/>
          <w:sz w:val="24"/>
        </w:rPr>
        <w:t>25</w:t>
      </w:r>
      <w:r w:rsidRPr="009F4EE3">
        <w:rPr>
          <w:noProof/>
          <w:sz w:val="24"/>
        </w:rPr>
        <w:t>(11), 3731–3740. https://doi.org/10.1111/gcb.14729</w:t>
      </w:r>
    </w:p>
    <w:p w14:paraId="4920281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Bai, Y., &amp; Cotrufo, M. F. (2022). Grassland soil carbon sequestration: Current understanding, challenges, and solutions. </w:t>
      </w:r>
      <w:r w:rsidRPr="009F4EE3">
        <w:rPr>
          <w:i/>
          <w:iCs/>
          <w:noProof/>
          <w:sz w:val="24"/>
        </w:rPr>
        <w:t>Science</w:t>
      </w:r>
      <w:r w:rsidRPr="009F4EE3">
        <w:rPr>
          <w:noProof/>
          <w:sz w:val="24"/>
        </w:rPr>
        <w:t xml:space="preserve">, </w:t>
      </w:r>
      <w:r w:rsidRPr="009F4EE3">
        <w:rPr>
          <w:i/>
          <w:iCs/>
          <w:noProof/>
          <w:sz w:val="24"/>
        </w:rPr>
        <w:t>377</w:t>
      </w:r>
      <w:r w:rsidRPr="009F4EE3">
        <w:rPr>
          <w:noProof/>
          <w:sz w:val="24"/>
        </w:rPr>
        <w:t>(6606), 603–608. https://doi.org/10.1126/science.abo2380</w:t>
      </w:r>
    </w:p>
    <w:p w14:paraId="71AF9176"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Biederman, J. A., Scott, R. L., Bell, T. W., Bowling, D. R., Dore, S., Garatuza-Payan, J., et al. (2017). CO</w:t>
      </w:r>
      <w:r w:rsidRPr="009F4EE3">
        <w:rPr>
          <w:noProof/>
          <w:sz w:val="24"/>
          <w:vertAlign w:val="subscript"/>
        </w:rPr>
        <w:t>2</w:t>
      </w:r>
      <w:r w:rsidRPr="009F4EE3">
        <w:rPr>
          <w:noProof/>
          <w:sz w:val="24"/>
        </w:rPr>
        <w:t xml:space="preserve"> exchange and evapotranspiration across dryland ecosystems of southwestern </w:t>
      </w:r>
      <w:r w:rsidRPr="009F4EE3">
        <w:rPr>
          <w:noProof/>
          <w:sz w:val="24"/>
        </w:rPr>
        <w:lastRenderedPageBreak/>
        <w:t xml:space="preserve">North America. </w:t>
      </w:r>
      <w:r w:rsidRPr="009F4EE3">
        <w:rPr>
          <w:i/>
          <w:iCs/>
          <w:noProof/>
          <w:sz w:val="24"/>
        </w:rPr>
        <w:t>Global Change Biology</w:t>
      </w:r>
      <w:r w:rsidRPr="009F4EE3">
        <w:rPr>
          <w:noProof/>
          <w:sz w:val="24"/>
        </w:rPr>
        <w:t xml:space="preserve">, </w:t>
      </w:r>
      <w:r w:rsidRPr="009F4EE3">
        <w:rPr>
          <w:i/>
          <w:iCs/>
          <w:noProof/>
          <w:sz w:val="24"/>
        </w:rPr>
        <w:t>23</w:t>
      </w:r>
      <w:r w:rsidRPr="009F4EE3">
        <w:rPr>
          <w:noProof/>
          <w:sz w:val="24"/>
        </w:rPr>
        <w:t>(10), 4204–4221. https://doi.org/10.1111/gcb.13686</w:t>
      </w:r>
    </w:p>
    <w:p w14:paraId="776C4D2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Blanco-Canqui, H., &amp; Lal, R. (2004). Mechanisms of Carbon Sequestration in Soil Aggregates. </w:t>
      </w:r>
      <w:r w:rsidRPr="009F4EE3">
        <w:rPr>
          <w:i/>
          <w:iCs/>
          <w:noProof/>
          <w:sz w:val="24"/>
        </w:rPr>
        <w:t>Critical Reviews in Plant Sciences</w:t>
      </w:r>
      <w:r w:rsidRPr="009F4EE3">
        <w:rPr>
          <w:noProof/>
          <w:sz w:val="24"/>
        </w:rPr>
        <w:t xml:space="preserve">, </w:t>
      </w:r>
      <w:r w:rsidRPr="009F4EE3">
        <w:rPr>
          <w:i/>
          <w:iCs/>
          <w:noProof/>
          <w:sz w:val="24"/>
        </w:rPr>
        <w:t>23</w:t>
      </w:r>
      <w:r w:rsidRPr="009F4EE3">
        <w:rPr>
          <w:noProof/>
          <w:sz w:val="24"/>
        </w:rPr>
        <w:t>(6), 481–504. Retrieved from https://doi.org/10.1080/07352680490886842</w:t>
      </w:r>
    </w:p>
    <w:p w14:paraId="10D8E9F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Booker, K., Huntsinger, L., Bartolome, J. W., Sayre, N. F., &amp; Stewart, W. (2013). What can ecological science tell us about opportunities for carbon sequestration on arid rangelands in the United States? </w:t>
      </w:r>
      <w:r w:rsidRPr="009F4EE3">
        <w:rPr>
          <w:i/>
          <w:iCs/>
          <w:noProof/>
          <w:sz w:val="24"/>
        </w:rPr>
        <w:t>Global Environmental Change</w:t>
      </w:r>
      <w:r w:rsidRPr="009F4EE3">
        <w:rPr>
          <w:noProof/>
          <w:sz w:val="24"/>
        </w:rPr>
        <w:t xml:space="preserve">, </w:t>
      </w:r>
      <w:r w:rsidRPr="009F4EE3">
        <w:rPr>
          <w:i/>
          <w:iCs/>
          <w:noProof/>
          <w:sz w:val="24"/>
        </w:rPr>
        <w:t>23</w:t>
      </w:r>
      <w:r w:rsidRPr="009F4EE3">
        <w:rPr>
          <w:noProof/>
          <w:sz w:val="24"/>
        </w:rPr>
        <w:t>(1), 240–251. https://doi.org/10.1016/j.gloenvcha.2012.10.001</w:t>
      </w:r>
    </w:p>
    <w:p w14:paraId="6C93D0D6"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Bozdogan, H. (1987). Model selection and Akaike’s Information Criterion (AIC): The general theory and its analytical extensions. </w:t>
      </w:r>
      <w:r w:rsidRPr="009F4EE3">
        <w:rPr>
          <w:i/>
          <w:iCs/>
          <w:noProof/>
          <w:sz w:val="24"/>
        </w:rPr>
        <w:t>Psychometrika</w:t>
      </w:r>
      <w:r w:rsidRPr="009F4EE3">
        <w:rPr>
          <w:noProof/>
          <w:sz w:val="24"/>
        </w:rPr>
        <w:t xml:space="preserve">, </w:t>
      </w:r>
      <w:r w:rsidRPr="009F4EE3">
        <w:rPr>
          <w:i/>
          <w:iCs/>
          <w:noProof/>
          <w:sz w:val="24"/>
        </w:rPr>
        <w:t>52</w:t>
      </w:r>
      <w:r w:rsidRPr="009F4EE3">
        <w:rPr>
          <w:noProof/>
          <w:sz w:val="24"/>
        </w:rPr>
        <w:t>(3), 345–370.</w:t>
      </w:r>
    </w:p>
    <w:p w14:paraId="7DBF9F7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Bronaugh, D., Schoeneberg, A., &amp; Zeman, L. (2023). Package‘zyp.’ Retrieved December 1, 2023, from https://cran.r-project.org/web/packages/zyp/zyp.pdf</w:t>
      </w:r>
    </w:p>
    <w:p w14:paraId="3B55B70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Brown, T. B., Hultine, K. R., Steltzer, H., Denny, E. G., Denslow, M. W., Granados, J., et al. (2016). Using phenocams to monitor our changing earth: Toward a global phenocam network. </w:t>
      </w:r>
      <w:r w:rsidRPr="009F4EE3">
        <w:rPr>
          <w:i/>
          <w:iCs/>
          <w:noProof/>
          <w:sz w:val="24"/>
        </w:rPr>
        <w:t>Frontiers in Ecology and the Environment</w:t>
      </w:r>
      <w:r w:rsidRPr="009F4EE3">
        <w:rPr>
          <w:noProof/>
          <w:sz w:val="24"/>
        </w:rPr>
        <w:t xml:space="preserve">, </w:t>
      </w:r>
      <w:r w:rsidRPr="009F4EE3">
        <w:rPr>
          <w:i/>
          <w:iCs/>
          <w:noProof/>
          <w:sz w:val="24"/>
        </w:rPr>
        <w:t>14</w:t>
      </w:r>
      <w:r w:rsidRPr="009F4EE3">
        <w:rPr>
          <w:noProof/>
          <w:sz w:val="24"/>
        </w:rPr>
        <w:t>(2), 84–93. https://doi.org/10.1002/fee.1222</w:t>
      </w:r>
    </w:p>
    <w:p w14:paraId="625A774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Browning, D. M., Snyder, K. A., &amp; Herrick, J. E. (2019). Plant phenology: Taking the pulse of rangelands. </w:t>
      </w:r>
      <w:r w:rsidRPr="009F4EE3">
        <w:rPr>
          <w:i/>
          <w:iCs/>
          <w:noProof/>
          <w:sz w:val="24"/>
        </w:rPr>
        <w:t>Rangelands</w:t>
      </w:r>
      <w:r w:rsidRPr="009F4EE3">
        <w:rPr>
          <w:noProof/>
          <w:sz w:val="24"/>
        </w:rPr>
        <w:t xml:space="preserve">, </w:t>
      </w:r>
      <w:r w:rsidRPr="009F4EE3">
        <w:rPr>
          <w:i/>
          <w:iCs/>
          <w:noProof/>
          <w:sz w:val="24"/>
        </w:rPr>
        <w:t>41</w:t>
      </w:r>
      <w:r w:rsidRPr="009F4EE3">
        <w:rPr>
          <w:noProof/>
          <w:sz w:val="24"/>
        </w:rPr>
        <w:t>(3), 129–134. https://doi.org/10.1016/j.rala.2019.02.001</w:t>
      </w:r>
    </w:p>
    <w:p w14:paraId="439FD24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Cao, R., Chen, Y., Shen, M., Chen, J., Zhou, J., Wang, C., &amp; Yang, W. (2018). A simple method to improve the quality of NDVI time-series data by integrating spatiotemporal information with the Savitzky-Golay filter. </w:t>
      </w:r>
      <w:r w:rsidRPr="009F4EE3">
        <w:rPr>
          <w:i/>
          <w:iCs/>
          <w:noProof/>
          <w:sz w:val="24"/>
        </w:rPr>
        <w:t>Remote Sensing of Environment</w:t>
      </w:r>
      <w:r w:rsidRPr="009F4EE3">
        <w:rPr>
          <w:noProof/>
          <w:sz w:val="24"/>
        </w:rPr>
        <w:t xml:space="preserve">, </w:t>
      </w:r>
      <w:r w:rsidRPr="009F4EE3">
        <w:rPr>
          <w:i/>
          <w:iCs/>
          <w:noProof/>
          <w:sz w:val="24"/>
        </w:rPr>
        <w:t>217</w:t>
      </w:r>
      <w:r w:rsidRPr="009F4EE3">
        <w:rPr>
          <w:noProof/>
          <w:sz w:val="24"/>
        </w:rPr>
        <w:t>, 244–257. https://doi.org/10.1016/j.rse.2018.08.022</w:t>
      </w:r>
    </w:p>
    <w:p w14:paraId="65532A6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Chang, X., Bao, X., Wang, S., Wilkes, A., Erdenetsetseg, B., Baival, B., et al. (2015). Simulating effects of grazing on soil organic carbon stocks in Mongolian grasslands. </w:t>
      </w:r>
      <w:r w:rsidRPr="009F4EE3">
        <w:rPr>
          <w:i/>
          <w:iCs/>
          <w:noProof/>
          <w:sz w:val="24"/>
        </w:rPr>
        <w:t>Agriculture, Ecosystems &amp; Environment</w:t>
      </w:r>
      <w:r w:rsidRPr="009F4EE3">
        <w:rPr>
          <w:noProof/>
          <w:sz w:val="24"/>
        </w:rPr>
        <w:t xml:space="preserve">, </w:t>
      </w:r>
      <w:r w:rsidRPr="009F4EE3">
        <w:rPr>
          <w:i/>
          <w:iCs/>
          <w:noProof/>
          <w:sz w:val="24"/>
        </w:rPr>
        <w:t>212</w:t>
      </w:r>
      <w:r w:rsidRPr="009F4EE3">
        <w:rPr>
          <w:noProof/>
          <w:sz w:val="24"/>
        </w:rPr>
        <w:t>, 278–284. https://doi.org/10.1016/j.agee.2015.07.014</w:t>
      </w:r>
    </w:p>
    <w:p w14:paraId="428DF91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Chen, J., Chen, J., Liao, A., Cao, X., Chen, L., Chen, X., et al. (2015). Global land cover mapping at 30 m resolution: A POK-based operational approach. </w:t>
      </w:r>
      <w:r w:rsidRPr="009F4EE3">
        <w:rPr>
          <w:i/>
          <w:iCs/>
          <w:noProof/>
          <w:sz w:val="24"/>
        </w:rPr>
        <w:t>ISPRS Journal of Photogrammetry and Remote Sensing</w:t>
      </w:r>
      <w:r w:rsidRPr="009F4EE3">
        <w:rPr>
          <w:noProof/>
          <w:sz w:val="24"/>
        </w:rPr>
        <w:t xml:space="preserve">, </w:t>
      </w:r>
      <w:r w:rsidRPr="009F4EE3">
        <w:rPr>
          <w:i/>
          <w:iCs/>
          <w:noProof/>
          <w:sz w:val="24"/>
        </w:rPr>
        <w:t>103</w:t>
      </w:r>
      <w:r w:rsidRPr="009F4EE3">
        <w:rPr>
          <w:noProof/>
          <w:sz w:val="24"/>
        </w:rPr>
        <w:t>, 7–27. https://doi.org/10.1016/j.isprsjprs.2014.09.002</w:t>
      </w:r>
    </w:p>
    <w:p w14:paraId="5B9910F6"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Chu, H., Luo, X., Ouyang, Z., Chan, W. S., Dengel, S., Biraud, S. C., et al. (2021). Representativeness of eddy-covariance flux footprints for areas surrounding AmeriFlux sites. </w:t>
      </w:r>
      <w:r w:rsidRPr="009F4EE3">
        <w:rPr>
          <w:i/>
          <w:iCs/>
          <w:noProof/>
          <w:sz w:val="24"/>
        </w:rPr>
        <w:t>Agricultural and Forest Meteorology</w:t>
      </w:r>
      <w:r w:rsidRPr="009F4EE3">
        <w:rPr>
          <w:noProof/>
          <w:sz w:val="24"/>
        </w:rPr>
        <w:t xml:space="preserve">, </w:t>
      </w:r>
      <w:r w:rsidRPr="009F4EE3">
        <w:rPr>
          <w:i/>
          <w:iCs/>
          <w:noProof/>
          <w:sz w:val="24"/>
        </w:rPr>
        <w:t>301</w:t>
      </w:r>
      <w:r w:rsidRPr="009F4EE3">
        <w:rPr>
          <w:noProof/>
          <w:sz w:val="24"/>
        </w:rPr>
        <w:t>–</w:t>
      </w:r>
      <w:r w:rsidRPr="009F4EE3">
        <w:rPr>
          <w:i/>
          <w:iCs/>
          <w:noProof/>
          <w:sz w:val="24"/>
        </w:rPr>
        <w:t>302</w:t>
      </w:r>
      <w:r w:rsidRPr="009F4EE3">
        <w:rPr>
          <w:noProof/>
          <w:sz w:val="24"/>
        </w:rPr>
        <w:t>, 108350. https://doi.org/10.1016/j.agrformet.2021.108350</w:t>
      </w:r>
    </w:p>
    <w:p w14:paraId="1A2C9D0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Chu, H., Christianson, D. S., Cheah, Y. W., Pastorello, G., O’Brien, F., Geden, J., et al. (2023). AmeriFlux BASE data pipeline to support network growth and data sharing. </w:t>
      </w:r>
      <w:r w:rsidRPr="009F4EE3">
        <w:rPr>
          <w:i/>
          <w:iCs/>
          <w:noProof/>
          <w:sz w:val="24"/>
        </w:rPr>
        <w:t>Scientific Data</w:t>
      </w:r>
      <w:r w:rsidRPr="009F4EE3">
        <w:rPr>
          <w:noProof/>
          <w:sz w:val="24"/>
        </w:rPr>
        <w:t xml:space="preserve">, </w:t>
      </w:r>
      <w:r w:rsidRPr="009F4EE3">
        <w:rPr>
          <w:i/>
          <w:iCs/>
          <w:noProof/>
          <w:sz w:val="24"/>
        </w:rPr>
        <w:t>10</w:t>
      </w:r>
      <w:r w:rsidRPr="009F4EE3">
        <w:rPr>
          <w:noProof/>
          <w:sz w:val="24"/>
        </w:rPr>
        <w:t>(1), e614. https://doi.org/10.1038/s41597-023-02531-2</w:t>
      </w:r>
    </w:p>
    <w:p w14:paraId="3C90484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Coleman, K., &amp; Jenkinson, D. S. (1996). RothC-26.3-A Model for the turnover of carbon in soil. In D. S. Powlson, P. Smith, &amp; J. U. Smith (Eds.), </w:t>
      </w:r>
      <w:r w:rsidRPr="009F4EE3">
        <w:rPr>
          <w:i/>
          <w:iCs/>
          <w:noProof/>
          <w:sz w:val="24"/>
        </w:rPr>
        <w:t>Evaluation of soil organic matter models: using existing long-term datasets</w:t>
      </w:r>
      <w:r w:rsidRPr="009F4EE3">
        <w:rPr>
          <w:noProof/>
          <w:sz w:val="24"/>
        </w:rPr>
        <w:t xml:space="preserve"> (pp. 237–246). Berlin, Germany: Springer. https://doi.org/https://doi.org/10.1007/978-3-642-61094-3_17</w:t>
      </w:r>
    </w:p>
    <w:p w14:paraId="063234A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Conant, R. T., Cerri, C. E. P., Osborne, B. B., &amp; Paustian, K. (2017). Grassland management impacts on soil carbon stocks: A new synthesis: A. </w:t>
      </w:r>
      <w:r w:rsidRPr="009F4EE3">
        <w:rPr>
          <w:i/>
          <w:iCs/>
          <w:noProof/>
          <w:sz w:val="24"/>
        </w:rPr>
        <w:t>Ecological Applications</w:t>
      </w:r>
      <w:r w:rsidRPr="009F4EE3">
        <w:rPr>
          <w:noProof/>
          <w:sz w:val="24"/>
        </w:rPr>
        <w:t xml:space="preserve">, </w:t>
      </w:r>
      <w:r w:rsidRPr="009F4EE3">
        <w:rPr>
          <w:i/>
          <w:iCs/>
          <w:noProof/>
          <w:sz w:val="24"/>
        </w:rPr>
        <w:t>27</w:t>
      </w:r>
      <w:r w:rsidRPr="009F4EE3">
        <w:rPr>
          <w:noProof/>
          <w:sz w:val="24"/>
        </w:rPr>
        <w:t>(2), 662–668. https://doi.org/10.1002/eap.1473</w:t>
      </w:r>
    </w:p>
    <w:p w14:paraId="4F1B72A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Cooter, E. J., Bash, J. O., Benson, V., &amp; Ran, L. (2012). Linking agricultural crop management and air quality models for regional to national-scale nitrogen assessments. </w:t>
      </w:r>
      <w:r w:rsidRPr="009F4EE3">
        <w:rPr>
          <w:i/>
          <w:iCs/>
          <w:noProof/>
          <w:sz w:val="24"/>
        </w:rPr>
        <w:t>Biogeosciences</w:t>
      </w:r>
      <w:r w:rsidRPr="009F4EE3">
        <w:rPr>
          <w:noProof/>
          <w:sz w:val="24"/>
        </w:rPr>
        <w:t xml:space="preserve">, </w:t>
      </w:r>
      <w:r w:rsidRPr="009F4EE3">
        <w:rPr>
          <w:i/>
          <w:iCs/>
          <w:noProof/>
          <w:sz w:val="24"/>
        </w:rPr>
        <w:lastRenderedPageBreak/>
        <w:t>9</w:t>
      </w:r>
      <w:r w:rsidRPr="009F4EE3">
        <w:rPr>
          <w:noProof/>
          <w:sz w:val="24"/>
        </w:rPr>
        <w:t>(10), 4023–4035. https://doi.org/10.5194/bg-9-4023-2012</w:t>
      </w:r>
    </w:p>
    <w:p w14:paraId="6B09D45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Delgado-Baquerizo, M., Eldridge, D. J., Maestre, F. T., Karunaratne, S. B., Trivedi, P., Reich, P. B., &amp; Singh, B. K. (2017). Climate legacies drive global soil carbon stocks in terrestrial ecosystems. </w:t>
      </w:r>
      <w:r w:rsidRPr="009F4EE3">
        <w:rPr>
          <w:i/>
          <w:iCs/>
          <w:noProof/>
          <w:sz w:val="24"/>
        </w:rPr>
        <w:t>Science Advances</w:t>
      </w:r>
      <w:r w:rsidRPr="009F4EE3">
        <w:rPr>
          <w:noProof/>
          <w:sz w:val="24"/>
        </w:rPr>
        <w:t xml:space="preserve">, </w:t>
      </w:r>
      <w:r w:rsidRPr="009F4EE3">
        <w:rPr>
          <w:i/>
          <w:iCs/>
          <w:noProof/>
          <w:sz w:val="24"/>
        </w:rPr>
        <w:t>3</w:t>
      </w:r>
      <w:r w:rsidRPr="009F4EE3">
        <w:rPr>
          <w:noProof/>
          <w:sz w:val="24"/>
        </w:rPr>
        <w:t>(4), e1602008. https://doi.org/10.1126/sciadv.1602008</w:t>
      </w:r>
    </w:p>
    <w:p w14:paraId="73241AD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Derner, J. D., &amp; Schuman, G. E. (2007). Carbon sequestration and rangelands: A synthesis of land management and precipitation effects. </w:t>
      </w:r>
      <w:r w:rsidRPr="009F4EE3">
        <w:rPr>
          <w:i/>
          <w:iCs/>
          <w:noProof/>
          <w:sz w:val="24"/>
        </w:rPr>
        <w:t>Journal of Soil and Water Conservation</w:t>
      </w:r>
      <w:r w:rsidRPr="009F4EE3">
        <w:rPr>
          <w:noProof/>
          <w:sz w:val="24"/>
        </w:rPr>
        <w:t xml:space="preserve">, </w:t>
      </w:r>
      <w:r w:rsidRPr="009F4EE3">
        <w:rPr>
          <w:i/>
          <w:iCs/>
          <w:noProof/>
          <w:sz w:val="24"/>
        </w:rPr>
        <w:t>62</w:t>
      </w:r>
      <w:r w:rsidRPr="009F4EE3">
        <w:rPr>
          <w:noProof/>
          <w:sz w:val="24"/>
        </w:rPr>
        <w:t>(2), 77–85. Retrieved from https://pubag.nal.usda.gov/download/10091/PDF</w:t>
      </w:r>
    </w:p>
    <w:p w14:paraId="4B26B97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Derner, J. D., Augustine, D. J., &amp; Frank, D. A. (2019). Does grazing matter for soil organic carbon sequestration in the western North American Great Plains? </w:t>
      </w:r>
      <w:r w:rsidRPr="009F4EE3">
        <w:rPr>
          <w:i/>
          <w:iCs/>
          <w:noProof/>
          <w:sz w:val="24"/>
        </w:rPr>
        <w:t>Ecosystems</w:t>
      </w:r>
      <w:r w:rsidRPr="009F4EE3">
        <w:rPr>
          <w:noProof/>
          <w:sz w:val="24"/>
        </w:rPr>
        <w:t xml:space="preserve">, </w:t>
      </w:r>
      <w:r w:rsidRPr="009F4EE3">
        <w:rPr>
          <w:i/>
          <w:iCs/>
          <w:noProof/>
          <w:sz w:val="24"/>
        </w:rPr>
        <w:t>22</w:t>
      </w:r>
      <w:r w:rsidRPr="009F4EE3">
        <w:rPr>
          <w:noProof/>
          <w:sz w:val="24"/>
        </w:rPr>
        <w:t>(5), 1088–1094. https://doi.org/10.1007/s10021-018-0324-3</w:t>
      </w:r>
    </w:p>
    <w:p w14:paraId="27A5105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Desai, A. R., Richardson, A. D., Moffat, A. M., Kattge, J., Hollinger, D. Y., Barr, A., et al. (2008). Cross-site evaluation of eddy covariance GPP and RE decomposition techniques. </w:t>
      </w:r>
      <w:r w:rsidRPr="009F4EE3">
        <w:rPr>
          <w:i/>
          <w:iCs/>
          <w:noProof/>
          <w:sz w:val="24"/>
        </w:rPr>
        <w:t>Agricultural and Forest Meteorology</w:t>
      </w:r>
      <w:r w:rsidRPr="009F4EE3">
        <w:rPr>
          <w:noProof/>
          <w:sz w:val="24"/>
        </w:rPr>
        <w:t xml:space="preserve">, </w:t>
      </w:r>
      <w:r w:rsidRPr="009F4EE3">
        <w:rPr>
          <w:i/>
          <w:iCs/>
          <w:noProof/>
          <w:sz w:val="24"/>
        </w:rPr>
        <w:t>148</w:t>
      </w:r>
      <w:r w:rsidRPr="009F4EE3">
        <w:rPr>
          <w:noProof/>
          <w:sz w:val="24"/>
        </w:rPr>
        <w:t>(6–7), 821–838. https://doi.org/10.1016/j.agrformet.2007.11.012</w:t>
      </w:r>
    </w:p>
    <w:p w14:paraId="027005B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Doblas-Rodrigo, Á., Gallejones, P., Artetxe, A., Rosa, E., del Hierro, Ó., &amp; Merino, P. (2022). Grassland contribution to soil organic carbon stock under climate change scenarios in Basque Country (Spain). </w:t>
      </w:r>
      <w:r w:rsidRPr="009F4EE3">
        <w:rPr>
          <w:i/>
          <w:iCs/>
          <w:noProof/>
          <w:sz w:val="24"/>
        </w:rPr>
        <w:t>Regional Environmental Change</w:t>
      </w:r>
      <w:r w:rsidRPr="009F4EE3">
        <w:rPr>
          <w:noProof/>
          <w:sz w:val="24"/>
        </w:rPr>
        <w:t xml:space="preserve">, </w:t>
      </w:r>
      <w:r w:rsidRPr="009F4EE3">
        <w:rPr>
          <w:i/>
          <w:iCs/>
          <w:noProof/>
          <w:sz w:val="24"/>
        </w:rPr>
        <w:t>22</w:t>
      </w:r>
      <w:r w:rsidRPr="009F4EE3">
        <w:rPr>
          <w:noProof/>
          <w:sz w:val="24"/>
        </w:rPr>
        <w:t>(1), 34. https://doi.org/10.1007/s10113-022-01877-4</w:t>
      </w:r>
    </w:p>
    <w:p w14:paraId="1E96F9F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Endsley, A. K., Kimball, J. S., Reichle, R. H., &amp; Watts, J. D. (2020). Satellite monitoring of global surface soil organic carbon dynamics using the SMAP Level 4 carbon product. </w:t>
      </w:r>
      <w:r w:rsidRPr="009F4EE3">
        <w:rPr>
          <w:i/>
          <w:iCs/>
          <w:noProof/>
          <w:sz w:val="24"/>
        </w:rPr>
        <w:t>Journal of Geophysical Research: Biogeosciences</w:t>
      </w:r>
      <w:r w:rsidRPr="009F4EE3">
        <w:rPr>
          <w:noProof/>
          <w:sz w:val="24"/>
        </w:rPr>
        <w:t xml:space="preserve">, </w:t>
      </w:r>
      <w:r w:rsidRPr="009F4EE3">
        <w:rPr>
          <w:i/>
          <w:iCs/>
          <w:noProof/>
          <w:sz w:val="24"/>
        </w:rPr>
        <w:t>125</w:t>
      </w:r>
      <w:r w:rsidRPr="009F4EE3">
        <w:rPr>
          <w:noProof/>
          <w:sz w:val="24"/>
        </w:rPr>
        <w:t>(12), e2020JG006100. https://doi.org/10.1029/2020JG006100</w:t>
      </w:r>
    </w:p>
    <w:p w14:paraId="210162F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Fargione, J. E., Boucher, T., Bridgham, S. D., Conant, R. T., Bassett, S., Cook-Patton, S. C., et al. (2018). Natural climate solutions for the United States. </w:t>
      </w:r>
      <w:r w:rsidRPr="009F4EE3">
        <w:rPr>
          <w:i/>
          <w:iCs/>
          <w:noProof/>
          <w:sz w:val="24"/>
        </w:rPr>
        <w:t>Science Advances</w:t>
      </w:r>
      <w:r w:rsidRPr="009F4EE3">
        <w:rPr>
          <w:noProof/>
          <w:sz w:val="24"/>
        </w:rPr>
        <w:t xml:space="preserve">, </w:t>
      </w:r>
      <w:r w:rsidRPr="009F4EE3">
        <w:rPr>
          <w:i/>
          <w:iCs/>
          <w:noProof/>
          <w:sz w:val="24"/>
        </w:rPr>
        <w:t>4</w:t>
      </w:r>
      <w:r w:rsidRPr="009F4EE3">
        <w:rPr>
          <w:noProof/>
          <w:sz w:val="24"/>
        </w:rPr>
        <w:t>(eeat1869), 1–14.</w:t>
      </w:r>
    </w:p>
    <w:p w14:paraId="4D3D5D9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Forkel, M., Carvalhais, N., Schaphoff, S., Bloh, W. V., Migliavacca, M., Thurner, M., &amp; Thonicke, K. (2014). Identifying environmental controls on vegetation greenness phenology through model-data integration. </w:t>
      </w:r>
      <w:r w:rsidRPr="009F4EE3">
        <w:rPr>
          <w:i/>
          <w:iCs/>
          <w:noProof/>
          <w:sz w:val="24"/>
        </w:rPr>
        <w:t>Biogeosciences</w:t>
      </w:r>
      <w:r w:rsidRPr="009F4EE3">
        <w:rPr>
          <w:noProof/>
          <w:sz w:val="24"/>
        </w:rPr>
        <w:t xml:space="preserve">, </w:t>
      </w:r>
      <w:r w:rsidRPr="009F4EE3">
        <w:rPr>
          <w:i/>
          <w:iCs/>
          <w:noProof/>
          <w:sz w:val="24"/>
        </w:rPr>
        <w:t>11</w:t>
      </w:r>
      <w:r w:rsidRPr="009F4EE3">
        <w:rPr>
          <w:noProof/>
          <w:sz w:val="24"/>
        </w:rPr>
        <w:t>(23), 7025–7050. https://doi.org/10.5194/bg-11-7025-2014</w:t>
      </w:r>
    </w:p>
    <w:p w14:paraId="463D345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Fuhlendorf, S. D., Briske, D. D., &amp; Smeins, F. E. (2000). Herbaceous vegetation change in variable rangeland environments: The relative contribution of grazing and climatic variability. </w:t>
      </w:r>
      <w:r w:rsidRPr="009F4EE3">
        <w:rPr>
          <w:i/>
          <w:iCs/>
          <w:noProof/>
          <w:sz w:val="24"/>
        </w:rPr>
        <w:t>Applied Vegetation Science</w:t>
      </w:r>
      <w:r w:rsidRPr="009F4EE3">
        <w:rPr>
          <w:noProof/>
          <w:sz w:val="24"/>
        </w:rPr>
        <w:t xml:space="preserve">, </w:t>
      </w:r>
      <w:r w:rsidRPr="009F4EE3">
        <w:rPr>
          <w:i/>
          <w:iCs/>
          <w:noProof/>
          <w:sz w:val="24"/>
        </w:rPr>
        <w:t>4</w:t>
      </w:r>
      <w:r w:rsidRPr="009F4EE3">
        <w:rPr>
          <w:noProof/>
          <w:sz w:val="24"/>
        </w:rPr>
        <w:t>(2), 177–188.</w:t>
      </w:r>
    </w:p>
    <w:p w14:paraId="350EB5F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Gao, F., Masek, J., Schwaller, M., &amp; Hall, F. (2006). On the blending of the landsat and MODIS surface reflectance: Predicting daily landsat surface reflectance. </w:t>
      </w:r>
      <w:r w:rsidRPr="009F4EE3">
        <w:rPr>
          <w:i/>
          <w:iCs/>
          <w:noProof/>
          <w:sz w:val="24"/>
        </w:rPr>
        <w:t>IEEE Transactions on Geoscience and Remote Sensing</w:t>
      </w:r>
      <w:r w:rsidRPr="009F4EE3">
        <w:rPr>
          <w:noProof/>
          <w:sz w:val="24"/>
        </w:rPr>
        <w:t xml:space="preserve">, </w:t>
      </w:r>
      <w:r w:rsidRPr="009F4EE3">
        <w:rPr>
          <w:i/>
          <w:iCs/>
          <w:noProof/>
          <w:sz w:val="24"/>
        </w:rPr>
        <w:t>44</w:t>
      </w:r>
      <w:r w:rsidRPr="009F4EE3">
        <w:rPr>
          <w:noProof/>
          <w:sz w:val="24"/>
        </w:rPr>
        <w:t>(8), 2207–2218. https://doi.org/10.1109/TGRS.2006.872081</w:t>
      </w:r>
    </w:p>
    <w:p w14:paraId="1066B67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Gao, J., Liang, T., Liu, J., Yin, J., Ge, J., Hou, M., et al. (2020). Potential of hyperspectral data and machine learning algorithms to estimate the forage carbon-nitrogen ratio in an alpine grassland ecosystem of the Tibetan Plateau. </w:t>
      </w:r>
      <w:r w:rsidRPr="009F4EE3">
        <w:rPr>
          <w:i/>
          <w:iCs/>
          <w:noProof/>
          <w:sz w:val="24"/>
        </w:rPr>
        <w:t>ISPRS Journal of Photogrammetry and Remote Sensing</w:t>
      </w:r>
      <w:r w:rsidRPr="009F4EE3">
        <w:rPr>
          <w:noProof/>
          <w:sz w:val="24"/>
        </w:rPr>
        <w:t xml:space="preserve">, </w:t>
      </w:r>
      <w:r w:rsidRPr="009F4EE3">
        <w:rPr>
          <w:i/>
          <w:iCs/>
          <w:noProof/>
          <w:sz w:val="24"/>
        </w:rPr>
        <w:t>163</w:t>
      </w:r>
      <w:r w:rsidRPr="009F4EE3">
        <w:rPr>
          <w:noProof/>
          <w:sz w:val="24"/>
        </w:rPr>
        <w:t>, 362–374. https://doi.org/10.1016/j.isprsjprs.2020.03.017</w:t>
      </w:r>
    </w:p>
    <w:p w14:paraId="4F71E95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Garcia-Cardona, J., Ortega, A., &amp; Rodriguez-Alvarez, N. (2022). Downscaling SMAP soil moisture with Ecostress products using a graph-based interpolation method. </w:t>
      </w:r>
      <w:r w:rsidRPr="009F4EE3">
        <w:rPr>
          <w:i/>
          <w:iCs/>
          <w:noProof/>
          <w:sz w:val="24"/>
        </w:rPr>
        <w:t>International Geoscience and Remote Sensing Symposium (IGARSS)</w:t>
      </w:r>
      <w:r w:rsidRPr="009F4EE3">
        <w:rPr>
          <w:noProof/>
          <w:sz w:val="24"/>
        </w:rPr>
        <w:t xml:space="preserve">, </w:t>
      </w:r>
      <w:r w:rsidRPr="009F4EE3">
        <w:rPr>
          <w:i/>
          <w:iCs/>
          <w:noProof/>
          <w:sz w:val="24"/>
        </w:rPr>
        <w:t>7</w:t>
      </w:r>
      <w:r w:rsidRPr="009F4EE3">
        <w:rPr>
          <w:noProof/>
          <w:sz w:val="24"/>
        </w:rPr>
        <w:t>, 6169–6172. https://doi.org/10.1109/IGARSS46834.2022.9883945</w:t>
      </w:r>
    </w:p>
    <w:p w14:paraId="6012663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Gelman, A., &amp; Rubin, D. B. (1989). Inference from iterative simulation using multiple sequences. </w:t>
      </w:r>
      <w:r w:rsidRPr="009F4EE3">
        <w:rPr>
          <w:i/>
          <w:iCs/>
          <w:noProof/>
          <w:sz w:val="24"/>
        </w:rPr>
        <w:t>Statistics</w:t>
      </w:r>
      <w:r w:rsidRPr="009F4EE3">
        <w:rPr>
          <w:noProof/>
          <w:sz w:val="24"/>
        </w:rPr>
        <w:t xml:space="preserve">, </w:t>
      </w:r>
      <w:r w:rsidRPr="009F4EE3">
        <w:rPr>
          <w:i/>
          <w:iCs/>
          <w:noProof/>
          <w:sz w:val="24"/>
        </w:rPr>
        <w:t>10</w:t>
      </w:r>
      <w:r w:rsidRPr="009F4EE3">
        <w:rPr>
          <w:noProof/>
          <w:sz w:val="24"/>
        </w:rPr>
        <w:t xml:space="preserve">(1), 409–435. Retrieved from </w:t>
      </w:r>
      <w:r w:rsidRPr="009F4EE3">
        <w:rPr>
          <w:noProof/>
          <w:sz w:val="24"/>
        </w:rPr>
        <w:lastRenderedPageBreak/>
        <w:t>http://projecteuclid.org/euclid.ss/1177010123</w:t>
      </w:r>
    </w:p>
    <w:p w14:paraId="3CE8D04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Golodets, C., Sternberg, M., Kigel, J., Boeken, B., Henkin, Z., Seligman, N. G., &amp; Ungar, E. D. (2013). From desert to Mediterranean rangelands: Will increasing drought and inter-annual rainfall variability affect herbaceous annual primary productivity? </w:t>
      </w:r>
      <w:r w:rsidRPr="009F4EE3">
        <w:rPr>
          <w:i/>
          <w:iCs/>
          <w:noProof/>
          <w:sz w:val="24"/>
        </w:rPr>
        <w:t>Climatic Change</w:t>
      </w:r>
      <w:r w:rsidRPr="009F4EE3">
        <w:rPr>
          <w:noProof/>
          <w:sz w:val="24"/>
        </w:rPr>
        <w:t xml:space="preserve">, </w:t>
      </w:r>
      <w:r w:rsidRPr="009F4EE3">
        <w:rPr>
          <w:i/>
          <w:iCs/>
          <w:noProof/>
          <w:sz w:val="24"/>
        </w:rPr>
        <w:t>119</w:t>
      </w:r>
      <w:r w:rsidRPr="009F4EE3">
        <w:rPr>
          <w:noProof/>
          <w:sz w:val="24"/>
        </w:rPr>
        <w:t>(3–4), 785–798. https://doi.org/10.1007/s10584-013-0758-8</w:t>
      </w:r>
    </w:p>
    <w:p w14:paraId="4A8B34B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Gorelick, N., Hancher, M., Dixon, M., Ilyushchenko, S., Thau, D., &amp; Moore, R. (2017). Google Earth Engine: Planetary-scale geospatial analysis for everyone. </w:t>
      </w:r>
      <w:r w:rsidRPr="009F4EE3">
        <w:rPr>
          <w:i/>
          <w:iCs/>
          <w:noProof/>
          <w:sz w:val="24"/>
        </w:rPr>
        <w:t>Remote Sensing of Environment</w:t>
      </w:r>
      <w:r w:rsidRPr="009F4EE3">
        <w:rPr>
          <w:noProof/>
          <w:sz w:val="24"/>
        </w:rPr>
        <w:t xml:space="preserve">, </w:t>
      </w:r>
      <w:r w:rsidRPr="009F4EE3">
        <w:rPr>
          <w:i/>
          <w:iCs/>
          <w:noProof/>
          <w:sz w:val="24"/>
        </w:rPr>
        <w:t>202</w:t>
      </w:r>
      <w:r w:rsidRPr="009F4EE3">
        <w:rPr>
          <w:noProof/>
          <w:sz w:val="24"/>
        </w:rPr>
        <w:t>, 18–27. https://doi.org/10.1016/j.rse.2017.06.031</w:t>
      </w:r>
    </w:p>
    <w:p w14:paraId="59734E0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Gu, Y., Wylie, B. K., Howard, D. M., Phuyal, K. P., &amp; Ji, L. (2013). NDVI saturation adjustment: A new approach for improving cropland performance estimates in the Greater Platte River Basin, USA. </w:t>
      </w:r>
      <w:r w:rsidRPr="009F4EE3">
        <w:rPr>
          <w:i/>
          <w:iCs/>
          <w:noProof/>
          <w:sz w:val="24"/>
        </w:rPr>
        <w:t>Ecological Indicators</w:t>
      </w:r>
      <w:r w:rsidRPr="009F4EE3">
        <w:rPr>
          <w:noProof/>
          <w:sz w:val="24"/>
        </w:rPr>
        <w:t xml:space="preserve">, </w:t>
      </w:r>
      <w:r w:rsidRPr="009F4EE3">
        <w:rPr>
          <w:i/>
          <w:iCs/>
          <w:noProof/>
          <w:sz w:val="24"/>
        </w:rPr>
        <w:t>30</w:t>
      </w:r>
      <w:r w:rsidRPr="009F4EE3">
        <w:rPr>
          <w:noProof/>
          <w:sz w:val="24"/>
        </w:rPr>
        <w:t>, 1–6. https://doi.org/10.1016/j.ecolind.2013.01.041</w:t>
      </w:r>
    </w:p>
    <w:p w14:paraId="3784C5F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Guerschman, J. P., Paruelo, J. M., Di Bella, C., Giallorenzi, M. C., &amp; Pacin, F. (2003). Land cover classification in the Argentine Pampas using multi-temporal Landsat TM data. </w:t>
      </w:r>
      <w:r w:rsidRPr="009F4EE3">
        <w:rPr>
          <w:i/>
          <w:iCs/>
          <w:noProof/>
          <w:sz w:val="24"/>
        </w:rPr>
        <w:t>International Journal of Remote Sensing</w:t>
      </w:r>
      <w:r w:rsidRPr="009F4EE3">
        <w:rPr>
          <w:noProof/>
          <w:sz w:val="24"/>
        </w:rPr>
        <w:t xml:space="preserve">, </w:t>
      </w:r>
      <w:r w:rsidRPr="009F4EE3">
        <w:rPr>
          <w:i/>
          <w:iCs/>
          <w:noProof/>
          <w:sz w:val="24"/>
        </w:rPr>
        <w:t>24</w:t>
      </w:r>
      <w:r w:rsidRPr="009F4EE3">
        <w:rPr>
          <w:noProof/>
          <w:sz w:val="24"/>
        </w:rPr>
        <w:t>(17), 3381–3402. https://doi.org/10.1080/0143116021000021288</w:t>
      </w:r>
    </w:p>
    <w:p w14:paraId="7BAC999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Guillaume, T., Bragazza, L., Levasseur, C., Libohova, Z., &amp; Sinaj, S. (2021). Long-term soil organic carbon dynamics in temperate cropland-grassland systems. </w:t>
      </w:r>
      <w:r w:rsidRPr="009F4EE3">
        <w:rPr>
          <w:i/>
          <w:iCs/>
          <w:noProof/>
          <w:sz w:val="24"/>
        </w:rPr>
        <w:t>Agriculture, Ecosystems and Environment</w:t>
      </w:r>
      <w:r w:rsidRPr="009F4EE3">
        <w:rPr>
          <w:noProof/>
          <w:sz w:val="24"/>
        </w:rPr>
        <w:t xml:space="preserve">, </w:t>
      </w:r>
      <w:r w:rsidRPr="009F4EE3">
        <w:rPr>
          <w:i/>
          <w:iCs/>
          <w:noProof/>
          <w:sz w:val="24"/>
        </w:rPr>
        <w:t>305</w:t>
      </w:r>
      <w:r w:rsidRPr="009F4EE3">
        <w:rPr>
          <w:noProof/>
          <w:sz w:val="24"/>
        </w:rPr>
        <w:t>, e107184. https://doi.org/10.1016/j.agee.2020.107184</w:t>
      </w:r>
    </w:p>
    <w:p w14:paraId="278DC49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Hall, D. K., Riggs, G. A., Salomonson, V. V., DiGirolamo, N. E., &amp; Bayr, K. J. (2002). MODIS snow-cover products. </w:t>
      </w:r>
      <w:r w:rsidRPr="009F4EE3">
        <w:rPr>
          <w:i/>
          <w:iCs/>
          <w:noProof/>
          <w:sz w:val="24"/>
        </w:rPr>
        <w:t>Remote Sensing of Environment</w:t>
      </w:r>
      <w:r w:rsidRPr="009F4EE3">
        <w:rPr>
          <w:noProof/>
          <w:sz w:val="24"/>
        </w:rPr>
        <w:t xml:space="preserve">, </w:t>
      </w:r>
      <w:r w:rsidRPr="009F4EE3">
        <w:rPr>
          <w:i/>
          <w:iCs/>
          <w:noProof/>
          <w:sz w:val="24"/>
        </w:rPr>
        <w:t>83</w:t>
      </w:r>
      <w:r w:rsidRPr="009F4EE3">
        <w:rPr>
          <w:noProof/>
          <w:sz w:val="24"/>
        </w:rPr>
        <w:t>(1–2), 181–194. https://doi.org/10.1016/S0034-4257(02)00095-0</w:t>
      </w:r>
    </w:p>
    <w:p w14:paraId="04BAF93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Hao, Y., &amp; He, Z. (2019). Effects of grazing patterns on grassland biomass and soil environments in China: A meta-analysis. </w:t>
      </w:r>
      <w:r w:rsidRPr="009F4EE3">
        <w:rPr>
          <w:i/>
          <w:iCs/>
          <w:noProof/>
          <w:sz w:val="24"/>
        </w:rPr>
        <w:t>PLoS ONE</w:t>
      </w:r>
      <w:r w:rsidRPr="009F4EE3">
        <w:rPr>
          <w:noProof/>
          <w:sz w:val="24"/>
        </w:rPr>
        <w:t xml:space="preserve">, </w:t>
      </w:r>
      <w:r w:rsidRPr="009F4EE3">
        <w:rPr>
          <w:i/>
          <w:iCs/>
          <w:noProof/>
          <w:sz w:val="24"/>
        </w:rPr>
        <w:t>14</w:t>
      </w:r>
      <w:r w:rsidRPr="009F4EE3">
        <w:rPr>
          <w:noProof/>
          <w:sz w:val="24"/>
        </w:rPr>
        <w:t>(4), e0215223. https://doi.org/10.1371/journal.pone.0215223</w:t>
      </w:r>
    </w:p>
    <w:p w14:paraId="13F7AD9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Hartig, F., Minunno, F., Paul, S., Cameron, D., Tankred, O., &amp; Maximilian, P. (2023). BayesianTools: General-purpose MCMC and SMC samplers and tools for bayesian statistics. Retrieved November 7, 2023, from https://cran.r-project.org/web/packages/BayesianTools/index.html</w:t>
      </w:r>
    </w:p>
    <w:p w14:paraId="1FCA4D7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Hartigan, T., Hartigan, D. C., Maechler, M. M., Maechler, A. M., Ringach, D., Gpl, L., &amp; Date, R. C. (2019). Package “tsoutliers”: Detection of outliers in time series. Retrieved November 7, 2023, from http://r.meteo.uni.wroc.pl/web/packages/tsoutliers/tsoutliers.pdf</w:t>
      </w:r>
    </w:p>
    <w:p w14:paraId="2F09E9F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Hassan, W., Bano, R., Khatak, B. U., Hussain, I., Yousaf, M., &amp; David, J. (2015). Temperature sensitivity and soil organic carbon pools decomposition under different moisture Regimes: EFFECT on total microbial and enzymatic activity. </w:t>
      </w:r>
      <w:r w:rsidRPr="009F4EE3">
        <w:rPr>
          <w:i/>
          <w:iCs/>
          <w:noProof/>
          <w:sz w:val="24"/>
        </w:rPr>
        <w:t>Clean - Soil, Air, Water</w:t>
      </w:r>
      <w:r w:rsidRPr="009F4EE3">
        <w:rPr>
          <w:noProof/>
          <w:sz w:val="24"/>
        </w:rPr>
        <w:t xml:space="preserve">, </w:t>
      </w:r>
      <w:r w:rsidRPr="009F4EE3">
        <w:rPr>
          <w:i/>
          <w:iCs/>
          <w:noProof/>
          <w:sz w:val="24"/>
        </w:rPr>
        <w:t>43</w:t>
      </w:r>
      <w:r w:rsidRPr="009F4EE3">
        <w:rPr>
          <w:noProof/>
          <w:sz w:val="24"/>
        </w:rPr>
        <w:t>(3), 391–398. https://doi.org/10.1002/clen.201300727</w:t>
      </w:r>
    </w:p>
    <w:p w14:paraId="2A61F45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Hassink, J. (1997). The capacity of soils to preserve organic C and N by their association with clay and silt particles. </w:t>
      </w:r>
      <w:r w:rsidRPr="009F4EE3">
        <w:rPr>
          <w:i/>
          <w:iCs/>
          <w:noProof/>
          <w:sz w:val="24"/>
        </w:rPr>
        <w:t>Plant and Soil</w:t>
      </w:r>
      <w:r w:rsidRPr="009F4EE3">
        <w:rPr>
          <w:noProof/>
          <w:sz w:val="24"/>
        </w:rPr>
        <w:t xml:space="preserve">, </w:t>
      </w:r>
      <w:r w:rsidRPr="009F4EE3">
        <w:rPr>
          <w:i/>
          <w:iCs/>
          <w:noProof/>
          <w:sz w:val="24"/>
        </w:rPr>
        <w:t>191</w:t>
      </w:r>
      <w:r w:rsidRPr="009F4EE3">
        <w:rPr>
          <w:noProof/>
          <w:sz w:val="24"/>
        </w:rPr>
        <w:t>(1), 77–87. https://doi.org/10.1023/A:1004213929699</w:t>
      </w:r>
    </w:p>
    <w:p w14:paraId="0AE66866"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He, M., Chen, S., Lian, X., Wang, X., Peñuelas, J., &amp; Piao, S. (2022). Global spectrum of vegetation light-use efficiency. </w:t>
      </w:r>
      <w:r w:rsidRPr="009F4EE3">
        <w:rPr>
          <w:i/>
          <w:iCs/>
          <w:noProof/>
          <w:sz w:val="24"/>
        </w:rPr>
        <w:t>Geophysical Research Letters</w:t>
      </w:r>
      <w:r w:rsidRPr="009F4EE3">
        <w:rPr>
          <w:noProof/>
          <w:sz w:val="24"/>
        </w:rPr>
        <w:t xml:space="preserve">, </w:t>
      </w:r>
      <w:r w:rsidRPr="009F4EE3">
        <w:rPr>
          <w:i/>
          <w:iCs/>
          <w:noProof/>
          <w:sz w:val="24"/>
        </w:rPr>
        <w:t>49</w:t>
      </w:r>
      <w:r w:rsidRPr="009F4EE3">
        <w:rPr>
          <w:noProof/>
          <w:sz w:val="24"/>
        </w:rPr>
        <w:t>(16), e2022GL099550. https://doi.org/10.1029/2022GL099550</w:t>
      </w:r>
    </w:p>
    <w:p w14:paraId="443FC18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Heuvelink, G. B. M., Angelini, M. E., Poggio, L., Bai, Z., Batjes, N. H., van den Bosch, R., et al. (2021). Machine learning in space and time for modelling soil organic carbon change. </w:t>
      </w:r>
      <w:r w:rsidRPr="009F4EE3">
        <w:rPr>
          <w:i/>
          <w:iCs/>
          <w:noProof/>
          <w:sz w:val="24"/>
        </w:rPr>
        <w:t>European Journal of Soil Science</w:t>
      </w:r>
      <w:r w:rsidRPr="009F4EE3">
        <w:rPr>
          <w:noProof/>
          <w:sz w:val="24"/>
        </w:rPr>
        <w:t xml:space="preserve">, </w:t>
      </w:r>
      <w:r w:rsidRPr="009F4EE3">
        <w:rPr>
          <w:i/>
          <w:iCs/>
          <w:noProof/>
          <w:sz w:val="24"/>
        </w:rPr>
        <w:t>72</w:t>
      </w:r>
      <w:r w:rsidRPr="009F4EE3">
        <w:rPr>
          <w:noProof/>
          <w:sz w:val="24"/>
        </w:rPr>
        <w:t>(4), 1607–1623. https://doi.org/10.1111/ejss.12998</w:t>
      </w:r>
    </w:p>
    <w:p w14:paraId="5CF06C4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Hill, M. J., Roxburgh, S. H., McKeon, G. M., Carter, J. O., &amp; Barrett, D. J. (2006). Analysis of </w:t>
      </w:r>
      <w:r w:rsidRPr="009F4EE3">
        <w:rPr>
          <w:noProof/>
          <w:sz w:val="24"/>
        </w:rPr>
        <w:lastRenderedPageBreak/>
        <w:t xml:space="preserve">soil carbon outcomes from interaction between climate and grazing pressure in Australian rangelands using Range-ASSESS. </w:t>
      </w:r>
      <w:r w:rsidRPr="009F4EE3">
        <w:rPr>
          <w:i/>
          <w:iCs/>
          <w:noProof/>
          <w:sz w:val="24"/>
        </w:rPr>
        <w:t>Environmental Modelling and Software</w:t>
      </w:r>
      <w:r w:rsidRPr="009F4EE3">
        <w:rPr>
          <w:noProof/>
          <w:sz w:val="24"/>
        </w:rPr>
        <w:t xml:space="preserve">, </w:t>
      </w:r>
      <w:r w:rsidRPr="009F4EE3">
        <w:rPr>
          <w:i/>
          <w:iCs/>
          <w:noProof/>
          <w:sz w:val="24"/>
        </w:rPr>
        <w:t>21</w:t>
      </w:r>
      <w:r w:rsidRPr="009F4EE3">
        <w:rPr>
          <w:noProof/>
          <w:sz w:val="24"/>
        </w:rPr>
        <w:t>(6), 779–801. https://doi.org/10.1016/j.envsoft.2005.02.006</w:t>
      </w:r>
    </w:p>
    <w:p w14:paraId="0E75B80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Hinckley, E. L. S., Bonan, G. B., Bowen, G. J., Colman, B. P., Duffy, P. A., Goodale, C. L., et al. (2016). The soil and plant biogeochemistry sampling design for the National Ecological Observatory Network. </w:t>
      </w:r>
      <w:r w:rsidRPr="009F4EE3">
        <w:rPr>
          <w:i/>
          <w:iCs/>
          <w:noProof/>
          <w:sz w:val="24"/>
        </w:rPr>
        <w:t>Ecosphere</w:t>
      </w:r>
      <w:r w:rsidRPr="009F4EE3">
        <w:rPr>
          <w:noProof/>
          <w:sz w:val="24"/>
        </w:rPr>
        <w:t xml:space="preserve">, </w:t>
      </w:r>
      <w:r w:rsidRPr="009F4EE3">
        <w:rPr>
          <w:i/>
          <w:iCs/>
          <w:noProof/>
          <w:sz w:val="24"/>
        </w:rPr>
        <w:t>7</w:t>
      </w:r>
      <w:r w:rsidRPr="009F4EE3">
        <w:rPr>
          <w:noProof/>
          <w:sz w:val="24"/>
        </w:rPr>
        <w:t>(3), e01234. https://doi.org/10.1002/ecs2.1234</w:t>
      </w:r>
    </w:p>
    <w:p w14:paraId="5521CA2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Holechek, J. L., Geli, H. M. E., Cibils, A. F., &amp; Sawalhah, M. N. (2020). Climate change, rangelands, and sustainability of ranching in the Western United States. </w:t>
      </w:r>
      <w:r w:rsidRPr="009F4EE3">
        <w:rPr>
          <w:i/>
          <w:iCs/>
          <w:noProof/>
          <w:sz w:val="24"/>
        </w:rPr>
        <w:t>Sustainability (Switzerland)</w:t>
      </w:r>
      <w:r w:rsidRPr="009F4EE3">
        <w:rPr>
          <w:noProof/>
          <w:sz w:val="24"/>
        </w:rPr>
        <w:t xml:space="preserve">, </w:t>
      </w:r>
      <w:r w:rsidRPr="009F4EE3">
        <w:rPr>
          <w:i/>
          <w:iCs/>
          <w:noProof/>
          <w:sz w:val="24"/>
        </w:rPr>
        <w:t>12</w:t>
      </w:r>
      <w:r w:rsidRPr="009F4EE3">
        <w:rPr>
          <w:noProof/>
          <w:sz w:val="24"/>
        </w:rPr>
        <w:t>(12), e4942. https://doi.org/10.3390/su12124942</w:t>
      </w:r>
    </w:p>
    <w:p w14:paraId="0C54D2F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Homer, C., Dewitz, J., Fry, J., Coan, M., Hossain, N., Larson, C., et al. (2007). Completion of the 2001 National Land Cover Database for the counterminous United States. </w:t>
      </w:r>
      <w:r w:rsidRPr="009F4EE3">
        <w:rPr>
          <w:i/>
          <w:iCs/>
          <w:noProof/>
          <w:sz w:val="24"/>
        </w:rPr>
        <w:t>Photogrammetric Engineering and Remote Sensing</w:t>
      </w:r>
      <w:r w:rsidRPr="009F4EE3">
        <w:rPr>
          <w:noProof/>
          <w:sz w:val="24"/>
        </w:rPr>
        <w:t xml:space="preserve">, </w:t>
      </w:r>
      <w:r w:rsidRPr="009F4EE3">
        <w:rPr>
          <w:i/>
          <w:iCs/>
          <w:noProof/>
          <w:sz w:val="24"/>
        </w:rPr>
        <w:t>73</w:t>
      </w:r>
      <w:r w:rsidRPr="009F4EE3">
        <w:rPr>
          <w:noProof/>
          <w:sz w:val="24"/>
        </w:rPr>
        <w:t>(4), 337–341. Retrieved from http://www.ncbi.nlm.nih.gov/pmc/articles/PMC3339477/pdf/ehp.120-a152.pdf</w:t>
      </w:r>
    </w:p>
    <w:p w14:paraId="2D2E52A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Homer, C. G., Dewitz, J. A., Yang, L., Jin, S., Danielson, P., Xian, G., et al. (2015). Completion of the 2011 National Land Cover Database for the conterminous United States-Representing a decade of land cover change information. </w:t>
      </w:r>
      <w:r w:rsidRPr="009F4EE3">
        <w:rPr>
          <w:i/>
          <w:iCs/>
          <w:noProof/>
          <w:sz w:val="24"/>
        </w:rPr>
        <w:t>Photogrammetric Engineering and Remote Sensing</w:t>
      </w:r>
      <w:r w:rsidRPr="009F4EE3">
        <w:rPr>
          <w:noProof/>
          <w:sz w:val="24"/>
        </w:rPr>
        <w:t xml:space="preserve">, </w:t>
      </w:r>
      <w:r w:rsidRPr="009F4EE3">
        <w:rPr>
          <w:i/>
          <w:iCs/>
          <w:noProof/>
          <w:sz w:val="24"/>
        </w:rPr>
        <w:t>81</w:t>
      </w:r>
      <w:r w:rsidRPr="009F4EE3">
        <w:rPr>
          <w:noProof/>
          <w:sz w:val="24"/>
        </w:rPr>
        <w:t>(5), 345–354. https://doi.org/10.14358/PERS.81.5.345</w:t>
      </w:r>
    </w:p>
    <w:p w14:paraId="6525B35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Hossain, M. L., &amp; Li, J. (2021). Biomass partitioning of C3- And C4-dominated grasslands in response to climatic variability and climate extremes. </w:t>
      </w:r>
      <w:r w:rsidRPr="009F4EE3">
        <w:rPr>
          <w:i/>
          <w:iCs/>
          <w:noProof/>
          <w:sz w:val="24"/>
        </w:rPr>
        <w:t>Environmental Research Letters</w:t>
      </w:r>
      <w:r w:rsidRPr="009F4EE3">
        <w:rPr>
          <w:noProof/>
          <w:sz w:val="24"/>
        </w:rPr>
        <w:t xml:space="preserve">, </w:t>
      </w:r>
      <w:r w:rsidRPr="009F4EE3">
        <w:rPr>
          <w:i/>
          <w:iCs/>
          <w:noProof/>
          <w:sz w:val="24"/>
        </w:rPr>
        <w:t>16</w:t>
      </w:r>
      <w:r w:rsidRPr="009F4EE3">
        <w:rPr>
          <w:noProof/>
          <w:sz w:val="24"/>
        </w:rPr>
        <w:t>(7), e074016. https://doi.org/10.1088/1748-9326/ac027a</w:t>
      </w:r>
    </w:p>
    <w:p w14:paraId="725E3FA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Huang, K., Zhang, Y., Tagesson, T., Brandt, M., Wang, L., Chen, N., et al. (2021). The confounding effect of snow cover on assessing spring phenology from space: A new look at trends on the Tibetan Plateau. </w:t>
      </w:r>
      <w:r w:rsidRPr="009F4EE3">
        <w:rPr>
          <w:i/>
          <w:iCs/>
          <w:noProof/>
          <w:sz w:val="24"/>
        </w:rPr>
        <w:t>Science of the Total Environment</w:t>
      </w:r>
      <w:r w:rsidRPr="009F4EE3">
        <w:rPr>
          <w:noProof/>
          <w:sz w:val="24"/>
        </w:rPr>
        <w:t xml:space="preserve">, </w:t>
      </w:r>
      <w:r w:rsidRPr="009F4EE3">
        <w:rPr>
          <w:i/>
          <w:iCs/>
          <w:noProof/>
          <w:sz w:val="24"/>
        </w:rPr>
        <w:t>756</w:t>
      </w:r>
      <w:r w:rsidRPr="009F4EE3">
        <w:rPr>
          <w:noProof/>
          <w:sz w:val="24"/>
        </w:rPr>
        <w:t>, e144011. https://doi.org/10.1016/j.scitotenv.2020.144011</w:t>
      </w:r>
    </w:p>
    <w:p w14:paraId="24BC360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Huete, A. R., &amp; Jackson, R. D. (1988). Soil and atmosphere influences on the spectra of partial canopies. </w:t>
      </w:r>
      <w:r w:rsidRPr="009F4EE3">
        <w:rPr>
          <w:i/>
          <w:iCs/>
          <w:noProof/>
          <w:sz w:val="24"/>
        </w:rPr>
        <w:t>Remote Sensing of Environment</w:t>
      </w:r>
      <w:r w:rsidRPr="009F4EE3">
        <w:rPr>
          <w:noProof/>
          <w:sz w:val="24"/>
        </w:rPr>
        <w:t xml:space="preserve">, </w:t>
      </w:r>
      <w:r w:rsidRPr="009F4EE3">
        <w:rPr>
          <w:i/>
          <w:iCs/>
          <w:noProof/>
          <w:sz w:val="24"/>
        </w:rPr>
        <w:t>25</w:t>
      </w:r>
      <w:r w:rsidRPr="009F4EE3">
        <w:rPr>
          <w:noProof/>
          <w:sz w:val="24"/>
        </w:rPr>
        <w:t>(1), 89–105. https://doi.org/10.1016/0034-4257(88)90043-0</w:t>
      </w:r>
    </w:p>
    <w:p w14:paraId="6372182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Hui, D., &amp; Jackson, R. B. (2006). Geographical and interannual variability in biomass partitioning in grassland ecosystems: A synthesis of field data. </w:t>
      </w:r>
      <w:r w:rsidRPr="009F4EE3">
        <w:rPr>
          <w:i/>
          <w:iCs/>
          <w:noProof/>
          <w:sz w:val="24"/>
        </w:rPr>
        <w:t>New Phytologist</w:t>
      </w:r>
      <w:r w:rsidRPr="009F4EE3">
        <w:rPr>
          <w:noProof/>
          <w:sz w:val="24"/>
        </w:rPr>
        <w:t xml:space="preserve">, </w:t>
      </w:r>
      <w:r w:rsidRPr="009F4EE3">
        <w:rPr>
          <w:i/>
          <w:iCs/>
          <w:noProof/>
          <w:sz w:val="24"/>
        </w:rPr>
        <w:t>169</w:t>
      </w:r>
      <w:r w:rsidRPr="009F4EE3">
        <w:rPr>
          <w:noProof/>
          <w:sz w:val="24"/>
        </w:rPr>
        <w:t>(1), 85–93. https://doi.org/10.1111/j.1469-8137.2005.01569.x</w:t>
      </w:r>
    </w:p>
    <w:p w14:paraId="2B14F63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Izaurralde, R. C., Thomson, A. M., Morgan, J. A., Fay, P. A., Polley, H. W., &amp; Hatfield, J. L. (2011). Climate impacts on agriculture: Implications for forage and rangeland production. </w:t>
      </w:r>
      <w:r w:rsidRPr="009F4EE3">
        <w:rPr>
          <w:i/>
          <w:iCs/>
          <w:noProof/>
          <w:sz w:val="24"/>
        </w:rPr>
        <w:t>Agronomy Journal</w:t>
      </w:r>
      <w:r w:rsidRPr="009F4EE3">
        <w:rPr>
          <w:noProof/>
          <w:sz w:val="24"/>
        </w:rPr>
        <w:t xml:space="preserve">, </w:t>
      </w:r>
      <w:r w:rsidRPr="009F4EE3">
        <w:rPr>
          <w:i/>
          <w:iCs/>
          <w:noProof/>
          <w:sz w:val="24"/>
        </w:rPr>
        <w:t>103</w:t>
      </w:r>
      <w:r w:rsidRPr="009F4EE3">
        <w:rPr>
          <w:noProof/>
          <w:sz w:val="24"/>
        </w:rPr>
        <w:t>(2), 371–381. https://doi.org/10.2134/agronj2010.0304</w:t>
      </w:r>
    </w:p>
    <w:p w14:paraId="5E37883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Jebari, A., Álvaro-Fuentes, J., Pardo, G., Almagro, M., &amp; del Prado, A. (2021). Estimating soil organic carbon changes in managed temperate moist grasslands with RothC. </w:t>
      </w:r>
      <w:r w:rsidRPr="009F4EE3">
        <w:rPr>
          <w:i/>
          <w:iCs/>
          <w:noProof/>
          <w:sz w:val="24"/>
        </w:rPr>
        <w:t>PLOS ONE</w:t>
      </w:r>
      <w:r w:rsidRPr="009F4EE3">
        <w:rPr>
          <w:noProof/>
          <w:sz w:val="24"/>
        </w:rPr>
        <w:t xml:space="preserve">, </w:t>
      </w:r>
      <w:r w:rsidRPr="009F4EE3">
        <w:rPr>
          <w:i/>
          <w:iCs/>
          <w:noProof/>
          <w:sz w:val="24"/>
        </w:rPr>
        <w:t>16</w:t>
      </w:r>
      <w:r w:rsidRPr="009F4EE3">
        <w:rPr>
          <w:noProof/>
          <w:sz w:val="24"/>
        </w:rPr>
        <w:t>(8), e0256219. https://doi.org/10.1371/journal.pone.0256219</w:t>
      </w:r>
    </w:p>
    <w:p w14:paraId="1371315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Jin, H., Bao, G., Chen, J., Chopping, M., Jin, E., Mandakh, U., et al. (2020). Modifying the maximal light-use efficiency for enhancing predictions of vegetation net primary productivity on the Mongolian Plateau. </w:t>
      </w:r>
      <w:r w:rsidRPr="009F4EE3">
        <w:rPr>
          <w:i/>
          <w:iCs/>
          <w:noProof/>
          <w:sz w:val="24"/>
        </w:rPr>
        <w:t>International Journal of Remote Sensing</w:t>
      </w:r>
      <w:r w:rsidRPr="009F4EE3">
        <w:rPr>
          <w:noProof/>
          <w:sz w:val="24"/>
        </w:rPr>
        <w:t xml:space="preserve">, </w:t>
      </w:r>
      <w:r w:rsidRPr="009F4EE3">
        <w:rPr>
          <w:i/>
          <w:iCs/>
          <w:noProof/>
          <w:sz w:val="24"/>
        </w:rPr>
        <w:t>41</w:t>
      </w:r>
      <w:r w:rsidRPr="009F4EE3">
        <w:rPr>
          <w:noProof/>
          <w:sz w:val="24"/>
        </w:rPr>
        <w:t>(10), 3740–3760. https://doi.org/10.1080/01431161.2019.1707902</w:t>
      </w:r>
    </w:p>
    <w:p w14:paraId="787FD45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Jones, M. B., &amp; Donnelly, A. (2004). Carbon sequestration in temperate grassland ecosystems and the influence of management, climate and elevated CO</w:t>
      </w:r>
      <w:r w:rsidRPr="009F4EE3">
        <w:rPr>
          <w:noProof/>
          <w:sz w:val="24"/>
          <w:vertAlign w:val="subscript"/>
        </w:rPr>
        <w:t>2</w:t>
      </w:r>
      <w:r w:rsidRPr="009F4EE3">
        <w:rPr>
          <w:noProof/>
          <w:sz w:val="24"/>
        </w:rPr>
        <w:t xml:space="preserve">. </w:t>
      </w:r>
      <w:r w:rsidRPr="009F4EE3">
        <w:rPr>
          <w:i/>
          <w:iCs/>
          <w:noProof/>
          <w:sz w:val="24"/>
        </w:rPr>
        <w:t>New Phytologist</w:t>
      </w:r>
      <w:r w:rsidRPr="009F4EE3">
        <w:rPr>
          <w:noProof/>
          <w:sz w:val="24"/>
        </w:rPr>
        <w:t xml:space="preserve">, </w:t>
      </w:r>
      <w:r w:rsidRPr="009F4EE3">
        <w:rPr>
          <w:i/>
          <w:iCs/>
          <w:noProof/>
          <w:sz w:val="24"/>
        </w:rPr>
        <w:t>164</w:t>
      </w:r>
      <w:r w:rsidRPr="009F4EE3">
        <w:rPr>
          <w:noProof/>
          <w:sz w:val="24"/>
        </w:rPr>
        <w:t>(3), 423–439. https://doi.org/10.1111/j.1469-8137.2004.01201.x</w:t>
      </w:r>
    </w:p>
    <w:p w14:paraId="5B02DF3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Jones, M. O., Allred, B. W., Naugle, D. E., Maestas, J. D., Donnelly, P., Metz, L. J., et al. (2018). Innovation in rangeland monitoring: annual, 30 m, plant functional type percent cover maps for U.S. rangelands, 1984–2017. </w:t>
      </w:r>
      <w:r w:rsidRPr="009F4EE3">
        <w:rPr>
          <w:i/>
          <w:iCs/>
          <w:noProof/>
          <w:sz w:val="24"/>
        </w:rPr>
        <w:t>Ecosphere</w:t>
      </w:r>
      <w:r w:rsidRPr="009F4EE3">
        <w:rPr>
          <w:noProof/>
          <w:sz w:val="24"/>
        </w:rPr>
        <w:t xml:space="preserve">, </w:t>
      </w:r>
      <w:r w:rsidRPr="009F4EE3">
        <w:rPr>
          <w:i/>
          <w:iCs/>
          <w:noProof/>
          <w:sz w:val="24"/>
        </w:rPr>
        <w:t>9</w:t>
      </w:r>
      <w:r w:rsidRPr="009F4EE3">
        <w:rPr>
          <w:noProof/>
          <w:sz w:val="24"/>
        </w:rPr>
        <w:t xml:space="preserve">, e02430. </w:t>
      </w:r>
      <w:r w:rsidRPr="009F4EE3">
        <w:rPr>
          <w:noProof/>
          <w:sz w:val="24"/>
        </w:rPr>
        <w:lastRenderedPageBreak/>
        <w:t>https://doi.org/10.1002/ecs2.2430</w:t>
      </w:r>
    </w:p>
    <w:p w14:paraId="183AC68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Keller, M., Schimel, D. S., Hargrove, W. W., &amp; Hoffman, F. M. (2008). A continental strategy for the National Ecological Observatory Network. </w:t>
      </w:r>
      <w:r w:rsidRPr="009F4EE3">
        <w:rPr>
          <w:i/>
          <w:iCs/>
          <w:noProof/>
          <w:sz w:val="24"/>
        </w:rPr>
        <w:t>Frontiers in Ecology and the Environment</w:t>
      </w:r>
      <w:r w:rsidRPr="009F4EE3">
        <w:rPr>
          <w:noProof/>
          <w:sz w:val="24"/>
        </w:rPr>
        <w:t xml:space="preserve">, </w:t>
      </w:r>
      <w:r w:rsidRPr="009F4EE3">
        <w:rPr>
          <w:i/>
          <w:iCs/>
          <w:noProof/>
          <w:sz w:val="24"/>
        </w:rPr>
        <w:t>6</w:t>
      </w:r>
      <w:r w:rsidRPr="009F4EE3">
        <w:rPr>
          <w:noProof/>
          <w:sz w:val="24"/>
        </w:rPr>
        <w:t>(5), 282–284. https://doi.org/10.1890/1540-9295(2008)6[282:ACSFTN]2.0.CO;2</w:t>
      </w:r>
    </w:p>
    <w:p w14:paraId="21E0138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Kelley, D. (2013). Package “oce”: Analysis of oceanographic data. Retrieved November 7, 2023, from https://cran.r-project.org/web/packages/oce/oce.pdf</w:t>
      </w:r>
    </w:p>
    <w:p w14:paraId="2C5AB32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Kelly, R. H., Parton, W. J., Hartman, M. D., Stretch, L. K., Ojima, D. S., &amp; Schimel, D. S. (2000). Intra-annual and interannual variability of ecosystem processes in shortgrass steppe. </w:t>
      </w:r>
      <w:r w:rsidRPr="009F4EE3">
        <w:rPr>
          <w:i/>
          <w:iCs/>
          <w:noProof/>
          <w:sz w:val="24"/>
        </w:rPr>
        <w:t>Journal of Geophysical Research Atmospheres</w:t>
      </w:r>
      <w:r w:rsidRPr="009F4EE3">
        <w:rPr>
          <w:noProof/>
          <w:sz w:val="24"/>
        </w:rPr>
        <w:t xml:space="preserve">, </w:t>
      </w:r>
      <w:r w:rsidRPr="009F4EE3">
        <w:rPr>
          <w:i/>
          <w:iCs/>
          <w:noProof/>
          <w:sz w:val="24"/>
        </w:rPr>
        <w:t>105</w:t>
      </w:r>
      <w:r w:rsidRPr="009F4EE3">
        <w:rPr>
          <w:noProof/>
          <w:sz w:val="24"/>
        </w:rPr>
        <w:t>(D15), 20093–20100. https://doi.org/10.1029/2000JD900259</w:t>
      </w:r>
    </w:p>
    <w:p w14:paraId="2E97E27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Khalil, M. I., Fornara, D. A., &amp; Osborne, B. (2020). Simulation and validation of long-term changes in soil organic carbon under permanent grassland using the DNDC model. </w:t>
      </w:r>
      <w:r w:rsidRPr="009F4EE3">
        <w:rPr>
          <w:i/>
          <w:iCs/>
          <w:noProof/>
          <w:sz w:val="24"/>
        </w:rPr>
        <w:t>Geoderma</w:t>
      </w:r>
      <w:r w:rsidRPr="009F4EE3">
        <w:rPr>
          <w:noProof/>
          <w:sz w:val="24"/>
        </w:rPr>
        <w:t xml:space="preserve">, </w:t>
      </w:r>
      <w:r w:rsidRPr="009F4EE3">
        <w:rPr>
          <w:i/>
          <w:iCs/>
          <w:noProof/>
          <w:sz w:val="24"/>
        </w:rPr>
        <w:t>361</w:t>
      </w:r>
      <w:r w:rsidRPr="009F4EE3">
        <w:rPr>
          <w:noProof/>
          <w:sz w:val="24"/>
        </w:rPr>
        <w:t>, 114014. https://doi.org/10.1016/j.geoderma.2019.114014</w:t>
      </w:r>
    </w:p>
    <w:p w14:paraId="13D6EBE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Kovalskyy, V., &amp; Roy, D. P. (2013). The global availability of Landsat 5 TM and Landsat 7 ETM+ land surface observations and implications for global 30m Landsat data product generation. </w:t>
      </w:r>
      <w:r w:rsidRPr="009F4EE3">
        <w:rPr>
          <w:i/>
          <w:iCs/>
          <w:noProof/>
          <w:sz w:val="24"/>
        </w:rPr>
        <w:t>Remote Sensing of Environment</w:t>
      </w:r>
      <w:r w:rsidRPr="009F4EE3">
        <w:rPr>
          <w:noProof/>
          <w:sz w:val="24"/>
        </w:rPr>
        <w:t xml:space="preserve">, </w:t>
      </w:r>
      <w:r w:rsidRPr="009F4EE3">
        <w:rPr>
          <w:i/>
          <w:iCs/>
          <w:noProof/>
          <w:sz w:val="24"/>
        </w:rPr>
        <w:t>130</w:t>
      </w:r>
      <w:r w:rsidRPr="009F4EE3">
        <w:rPr>
          <w:noProof/>
          <w:sz w:val="24"/>
        </w:rPr>
        <w:t>, 280–293. https://doi.org/10.1016/j.rse.2012.12.003</w:t>
      </w:r>
    </w:p>
    <w:p w14:paraId="372406F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Krause, A., Papastefanou, P., Gregor, K., Layritz, L. S., Zang, C. S., Buras, A., et al. (2022). Quantifying the impacts of land cover change on gross primary productivity globally. </w:t>
      </w:r>
      <w:r w:rsidRPr="009F4EE3">
        <w:rPr>
          <w:i/>
          <w:iCs/>
          <w:noProof/>
          <w:sz w:val="24"/>
        </w:rPr>
        <w:t>Scientific Reports</w:t>
      </w:r>
      <w:r w:rsidRPr="009F4EE3">
        <w:rPr>
          <w:noProof/>
          <w:sz w:val="24"/>
        </w:rPr>
        <w:t xml:space="preserve">, </w:t>
      </w:r>
      <w:r w:rsidRPr="009F4EE3">
        <w:rPr>
          <w:i/>
          <w:iCs/>
          <w:noProof/>
          <w:sz w:val="24"/>
        </w:rPr>
        <w:t>12</w:t>
      </w:r>
      <w:r w:rsidRPr="009F4EE3">
        <w:rPr>
          <w:noProof/>
          <w:sz w:val="24"/>
        </w:rPr>
        <w:t>(1), e18398. https://doi.org/10.1038/s41598-022-23120-0</w:t>
      </w:r>
    </w:p>
    <w:p w14:paraId="7C2CA8C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Lal, R. (2004). Soil carbon sequestration to mitigate climate change. </w:t>
      </w:r>
      <w:r w:rsidRPr="009F4EE3">
        <w:rPr>
          <w:i/>
          <w:iCs/>
          <w:noProof/>
          <w:sz w:val="24"/>
        </w:rPr>
        <w:t>Geoderma</w:t>
      </w:r>
      <w:r w:rsidRPr="009F4EE3">
        <w:rPr>
          <w:noProof/>
          <w:sz w:val="24"/>
        </w:rPr>
        <w:t xml:space="preserve">, </w:t>
      </w:r>
      <w:r w:rsidRPr="009F4EE3">
        <w:rPr>
          <w:i/>
          <w:iCs/>
          <w:noProof/>
          <w:sz w:val="24"/>
        </w:rPr>
        <w:t>123</w:t>
      </w:r>
      <w:r w:rsidRPr="009F4EE3">
        <w:rPr>
          <w:noProof/>
          <w:sz w:val="24"/>
        </w:rPr>
        <w:t>(1–2), 1–22.</w:t>
      </w:r>
    </w:p>
    <w:p w14:paraId="5853626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Lange, M., Feilhauer, H., Kühn, I., &amp; Doktor, D. (2022). Mapping land-use intensity of grasslands in Germany with machine learning and Sentinel-2 time series. </w:t>
      </w:r>
      <w:r w:rsidRPr="009F4EE3">
        <w:rPr>
          <w:i/>
          <w:iCs/>
          <w:noProof/>
          <w:sz w:val="24"/>
        </w:rPr>
        <w:t>Remote Sensing of Environment</w:t>
      </w:r>
      <w:r w:rsidRPr="009F4EE3">
        <w:rPr>
          <w:noProof/>
          <w:sz w:val="24"/>
        </w:rPr>
        <w:t xml:space="preserve">, </w:t>
      </w:r>
      <w:r w:rsidRPr="009F4EE3">
        <w:rPr>
          <w:i/>
          <w:iCs/>
          <w:noProof/>
          <w:sz w:val="24"/>
        </w:rPr>
        <w:t>277</w:t>
      </w:r>
      <w:r w:rsidRPr="009F4EE3">
        <w:rPr>
          <w:noProof/>
          <w:sz w:val="24"/>
        </w:rPr>
        <w:t>, e112888. https://doi.org/10.1016/j.rse.2022.112888</w:t>
      </w:r>
    </w:p>
    <w:p w14:paraId="11F23B1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Li, C., Frolking, S., &amp; Harriss, R. (1994). Modeling carbon biogeochemistry in agricultural soils. </w:t>
      </w:r>
      <w:r w:rsidRPr="009F4EE3">
        <w:rPr>
          <w:i/>
          <w:iCs/>
          <w:noProof/>
          <w:sz w:val="24"/>
        </w:rPr>
        <w:t>Global Biogeochemical Cycles</w:t>
      </w:r>
      <w:r w:rsidRPr="009F4EE3">
        <w:rPr>
          <w:noProof/>
          <w:sz w:val="24"/>
        </w:rPr>
        <w:t xml:space="preserve">, </w:t>
      </w:r>
      <w:r w:rsidRPr="009F4EE3">
        <w:rPr>
          <w:i/>
          <w:iCs/>
          <w:noProof/>
          <w:sz w:val="24"/>
        </w:rPr>
        <w:t>8</w:t>
      </w:r>
      <w:r w:rsidRPr="009F4EE3">
        <w:rPr>
          <w:noProof/>
          <w:sz w:val="24"/>
        </w:rPr>
        <w:t>(3), 237–254. https://doi.org/10.1029/94GB00767</w:t>
      </w:r>
    </w:p>
    <w:p w14:paraId="14D2CED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Li, C., Salas, W., Zhang, R., Krauter, C., Rotz, A., &amp; Mitloehner, F. (2012). Manure-DNDC: A biogeochemical process model for quantifying greenhouse gas and ammonia emissions from livestock manure systems. </w:t>
      </w:r>
      <w:r w:rsidRPr="009F4EE3">
        <w:rPr>
          <w:i/>
          <w:iCs/>
          <w:noProof/>
          <w:sz w:val="24"/>
        </w:rPr>
        <w:t>Nutrient Cycling in Agroecosystems</w:t>
      </w:r>
      <w:r w:rsidRPr="009F4EE3">
        <w:rPr>
          <w:noProof/>
          <w:sz w:val="24"/>
        </w:rPr>
        <w:t xml:space="preserve">, </w:t>
      </w:r>
      <w:r w:rsidRPr="009F4EE3">
        <w:rPr>
          <w:i/>
          <w:iCs/>
          <w:noProof/>
          <w:sz w:val="24"/>
        </w:rPr>
        <w:t>93</w:t>
      </w:r>
      <w:r w:rsidRPr="009F4EE3">
        <w:rPr>
          <w:noProof/>
          <w:sz w:val="24"/>
        </w:rPr>
        <w:t>(2), 163–200. https://doi.org/10.1007/s10705-012-9507-z</w:t>
      </w:r>
    </w:p>
    <w:p w14:paraId="7656830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Li, L., Zhang, Y., Liu, L., Wu, J., Li, S., Zhang, H., et al. (2018). Current challenges in distinguishing climatic and anthropogenic contributions to alpine grassland variation on the Tibetan Plateau. </w:t>
      </w:r>
      <w:r w:rsidRPr="009F4EE3">
        <w:rPr>
          <w:i/>
          <w:iCs/>
          <w:noProof/>
          <w:sz w:val="24"/>
        </w:rPr>
        <w:t>Ecology and Evolution</w:t>
      </w:r>
      <w:r w:rsidRPr="009F4EE3">
        <w:rPr>
          <w:noProof/>
          <w:sz w:val="24"/>
        </w:rPr>
        <w:t xml:space="preserve">, </w:t>
      </w:r>
      <w:r w:rsidRPr="009F4EE3">
        <w:rPr>
          <w:i/>
          <w:iCs/>
          <w:noProof/>
          <w:sz w:val="24"/>
        </w:rPr>
        <w:t>8</w:t>
      </w:r>
      <w:r w:rsidRPr="009F4EE3">
        <w:rPr>
          <w:noProof/>
          <w:sz w:val="24"/>
        </w:rPr>
        <w:t>(11), 5949–5963. https://doi.org/10.1002/ece3.4099</w:t>
      </w:r>
    </w:p>
    <w:p w14:paraId="6FEE34E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Liu, H., Jin, Y., Roche, L. M., O’Geen, A. T., &amp; Dahlgren, R. A. (2021). Understanding spatial variability of forage production in California grasslands: Delineating climate, topography and soil controls. </w:t>
      </w:r>
      <w:r w:rsidRPr="009F4EE3">
        <w:rPr>
          <w:i/>
          <w:iCs/>
          <w:noProof/>
          <w:sz w:val="24"/>
        </w:rPr>
        <w:t>Environmental Research Letters</w:t>
      </w:r>
      <w:r w:rsidRPr="009F4EE3">
        <w:rPr>
          <w:noProof/>
          <w:sz w:val="24"/>
        </w:rPr>
        <w:t xml:space="preserve">, </w:t>
      </w:r>
      <w:r w:rsidRPr="009F4EE3">
        <w:rPr>
          <w:i/>
          <w:iCs/>
          <w:noProof/>
          <w:sz w:val="24"/>
        </w:rPr>
        <w:t>16</w:t>
      </w:r>
      <w:r w:rsidRPr="009F4EE3">
        <w:rPr>
          <w:noProof/>
          <w:sz w:val="24"/>
        </w:rPr>
        <w:t>(1), e014043. https://doi.org/10.1088/1748-9326/abc64d</w:t>
      </w:r>
    </w:p>
    <w:p w14:paraId="206F8D8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Long, X., Guan, H., Sinclair, R., Batelaan, O., Facelli, J. M., Andrew, R. L., &amp; Bestland, E. (2019). Response of vegetation cover to climate variability in protected and grazed arid rangelands of South Australia. </w:t>
      </w:r>
      <w:r w:rsidRPr="009F4EE3">
        <w:rPr>
          <w:i/>
          <w:iCs/>
          <w:noProof/>
          <w:sz w:val="24"/>
        </w:rPr>
        <w:t>Journal of Arid Environments</w:t>
      </w:r>
      <w:r w:rsidRPr="009F4EE3">
        <w:rPr>
          <w:noProof/>
          <w:sz w:val="24"/>
        </w:rPr>
        <w:t xml:space="preserve">, </w:t>
      </w:r>
      <w:r w:rsidRPr="009F4EE3">
        <w:rPr>
          <w:i/>
          <w:iCs/>
          <w:noProof/>
          <w:sz w:val="24"/>
        </w:rPr>
        <w:t>161</w:t>
      </w:r>
      <w:r w:rsidRPr="009F4EE3">
        <w:rPr>
          <w:noProof/>
          <w:sz w:val="24"/>
        </w:rPr>
        <w:t>, 64–71. https://doi.org/10.1016/j.jaridenv.2018.10.001</w:t>
      </w:r>
    </w:p>
    <w:p w14:paraId="7296572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Maher, A. T., Ashwell, N. E. Q., MacZko, K. A., Taylor, D. T., Tanaka, J. A., &amp; Reeves, M. C. (2021). An economic valuation of federal and private grazing land ecosystem services supported by beef cattle ranching in the United States. </w:t>
      </w:r>
      <w:r w:rsidRPr="009F4EE3">
        <w:rPr>
          <w:i/>
          <w:iCs/>
          <w:noProof/>
          <w:sz w:val="24"/>
        </w:rPr>
        <w:t>Translational Animal Science</w:t>
      </w:r>
      <w:r w:rsidRPr="009F4EE3">
        <w:rPr>
          <w:noProof/>
          <w:sz w:val="24"/>
        </w:rPr>
        <w:t xml:space="preserve">, </w:t>
      </w:r>
      <w:r w:rsidRPr="009F4EE3">
        <w:rPr>
          <w:i/>
          <w:iCs/>
          <w:noProof/>
          <w:sz w:val="24"/>
        </w:rPr>
        <w:t>5</w:t>
      </w:r>
      <w:r w:rsidRPr="009F4EE3">
        <w:rPr>
          <w:noProof/>
          <w:sz w:val="24"/>
        </w:rPr>
        <w:t xml:space="preserve">(3), </w:t>
      </w:r>
      <w:r w:rsidRPr="009F4EE3">
        <w:rPr>
          <w:noProof/>
          <w:sz w:val="24"/>
        </w:rPr>
        <w:lastRenderedPageBreak/>
        <w:t>1–15. https://doi.org/10.1093/tas/txab054</w:t>
      </w:r>
    </w:p>
    <w:p w14:paraId="0C995EF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McSherry, M. E., &amp; Ritchie, M. E. (2013). Effects of grazing on grassland soil carbon: A global review. </w:t>
      </w:r>
      <w:r w:rsidRPr="009F4EE3">
        <w:rPr>
          <w:i/>
          <w:iCs/>
          <w:noProof/>
          <w:sz w:val="24"/>
        </w:rPr>
        <w:t>Global Change Biology</w:t>
      </w:r>
      <w:r w:rsidRPr="009F4EE3">
        <w:rPr>
          <w:noProof/>
          <w:sz w:val="24"/>
        </w:rPr>
        <w:t xml:space="preserve">, </w:t>
      </w:r>
      <w:r w:rsidRPr="009F4EE3">
        <w:rPr>
          <w:i/>
          <w:iCs/>
          <w:noProof/>
          <w:sz w:val="24"/>
        </w:rPr>
        <w:t>19</w:t>
      </w:r>
      <w:r w:rsidRPr="009F4EE3">
        <w:rPr>
          <w:noProof/>
          <w:sz w:val="24"/>
        </w:rPr>
        <w:t>(5), 1347–1357. https://doi.org/10.1111/gcb.12144</w:t>
      </w:r>
    </w:p>
    <w:p w14:paraId="72DCD26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Mensah, F., Schoenau, J. J., &amp; Malhi, S. S. (2003). Soil carbon changes in cultivated and excavated land converted to grasses in east-central Saskatchewan. </w:t>
      </w:r>
      <w:r w:rsidRPr="009F4EE3">
        <w:rPr>
          <w:i/>
          <w:iCs/>
          <w:noProof/>
          <w:sz w:val="24"/>
        </w:rPr>
        <w:t>Biogeochemistry</w:t>
      </w:r>
      <w:r w:rsidRPr="009F4EE3">
        <w:rPr>
          <w:noProof/>
          <w:sz w:val="24"/>
        </w:rPr>
        <w:t xml:space="preserve">, </w:t>
      </w:r>
      <w:r w:rsidRPr="009F4EE3">
        <w:rPr>
          <w:i/>
          <w:iCs/>
          <w:noProof/>
          <w:sz w:val="24"/>
        </w:rPr>
        <w:t>63</w:t>
      </w:r>
      <w:r w:rsidRPr="009F4EE3">
        <w:rPr>
          <w:noProof/>
          <w:sz w:val="24"/>
        </w:rPr>
        <w:t>(1), 85–92. https://doi.org/10.1023/A:1023369500529</w:t>
      </w:r>
    </w:p>
    <w:p w14:paraId="1C811E8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Milne, R. M., &amp; Haynes, R. J. (2004). Soil organic matter, microbial properties, and aggregate stability under annual and perennial pastures. </w:t>
      </w:r>
      <w:r w:rsidRPr="009F4EE3">
        <w:rPr>
          <w:i/>
          <w:iCs/>
          <w:noProof/>
          <w:sz w:val="24"/>
        </w:rPr>
        <w:t>Biology and Fertility of Soils</w:t>
      </w:r>
      <w:r w:rsidRPr="009F4EE3">
        <w:rPr>
          <w:noProof/>
          <w:sz w:val="24"/>
        </w:rPr>
        <w:t xml:space="preserve">, </w:t>
      </w:r>
      <w:r w:rsidRPr="009F4EE3">
        <w:rPr>
          <w:i/>
          <w:iCs/>
          <w:noProof/>
          <w:sz w:val="24"/>
        </w:rPr>
        <w:t>39</w:t>
      </w:r>
      <w:r w:rsidRPr="009F4EE3">
        <w:rPr>
          <w:noProof/>
          <w:sz w:val="24"/>
        </w:rPr>
        <w:t>(3), 172–178. https://doi.org/10.1007/s00374-003-0698-y</w:t>
      </w:r>
    </w:p>
    <w:p w14:paraId="207DCC6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Minasny, B., &amp; McBratney, A. B. (2015). Digital soil mapping: A brief history and some lessons. </w:t>
      </w:r>
      <w:r w:rsidRPr="009F4EE3">
        <w:rPr>
          <w:i/>
          <w:iCs/>
          <w:noProof/>
          <w:sz w:val="24"/>
        </w:rPr>
        <w:t>Geoderma</w:t>
      </w:r>
      <w:r w:rsidRPr="009F4EE3">
        <w:rPr>
          <w:noProof/>
          <w:sz w:val="24"/>
        </w:rPr>
        <w:t xml:space="preserve">, </w:t>
      </w:r>
      <w:r w:rsidRPr="009F4EE3">
        <w:rPr>
          <w:i/>
          <w:iCs/>
          <w:noProof/>
          <w:sz w:val="24"/>
        </w:rPr>
        <w:t>264</w:t>
      </w:r>
      <w:r w:rsidRPr="009F4EE3">
        <w:rPr>
          <w:noProof/>
          <w:sz w:val="24"/>
        </w:rPr>
        <w:t>, 301–311. https://doi.org/10.1016/j.geoderma.2015.07.017</w:t>
      </w:r>
    </w:p>
    <w:p w14:paraId="1516982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Moll-Mielewczik, J., Keel, S. G., &amp; Gubler, A. (2023). Organic carbon contents of mineral grassland soils in Switzerland over the last 30 years. </w:t>
      </w:r>
      <w:r w:rsidRPr="009F4EE3">
        <w:rPr>
          <w:i/>
          <w:iCs/>
          <w:noProof/>
          <w:sz w:val="24"/>
        </w:rPr>
        <w:t>Agriculture, Ecosystems and Environment</w:t>
      </w:r>
      <w:r w:rsidRPr="009F4EE3">
        <w:rPr>
          <w:noProof/>
          <w:sz w:val="24"/>
        </w:rPr>
        <w:t xml:space="preserve">, </w:t>
      </w:r>
      <w:r w:rsidRPr="009F4EE3">
        <w:rPr>
          <w:i/>
          <w:iCs/>
          <w:noProof/>
          <w:sz w:val="24"/>
        </w:rPr>
        <w:t>342</w:t>
      </w:r>
      <w:r w:rsidRPr="009F4EE3">
        <w:rPr>
          <w:noProof/>
          <w:sz w:val="24"/>
        </w:rPr>
        <w:t>, e108258. https://doi.org/10.1016/j.agee.2022.108258</w:t>
      </w:r>
    </w:p>
    <w:p w14:paraId="1ED8E89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Nave, L. E., Bowman, M., Gallo, A., Hatten, J. A., Heckman, K. A., Matosziuk, L., et al. (2021). Patterns and predictors of soil organic carbon storage across a continental-scale network. </w:t>
      </w:r>
      <w:r w:rsidRPr="009F4EE3">
        <w:rPr>
          <w:i/>
          <w:iCs/>
          <w:noProof/>
          <w:sz w:val="24"/>
        </w:rPr>
        <w:t>Biogeochemistry</w:t>
      </w:r>
      <w:r w:rsidRPr="009F4EE3">
        <w:rPr>
          <w:noProof/>
          <w:sz w:val="24"/>
        </w:rPr>
        <w:t xml:space="preserve">, </w:t>
      </w:r>
      <w:r w:rsidRPr="009F4EE3">
        <w:rPr>
          <w:i/>
          <w:iCs/>
          <w:noProof/>
          <w:sz w:val="24"/>
        </w:rPr>
        <w:t>156</w:t>
      </w:r>
      <w:r w:rsidRPr="009F4EE3">
        <w:rPr>
          <w:noProof/>
          <w:sz w:val="24"/>
        </w:rPr>
        <w:t>(1), 75–96. https://doi.org/10.1007/s10533-020-00745-9</w:t>
      </w:r>
    </w:p>
    <w:p w14:paraId="0260A8F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Nie, W., Kumar, S. V., Bindlish, R., Liu, P. W., &amp; Wang, S. (2022). Remote sensing-based vegetation and soil moisture constraints reduce irrigation estimation uncertainty. </w:t>
      </w:r>
      <w:r w:rsidRPr="009F4EE3">
        <w:rPr>
          <w:i/>
          <w:iCs/>
          <w:noProof/>
          <w:sz w:val="24"/>
        </w:rPr>
        <w:t>Environmental Research Letters</w:t>
      </w:r>
      <w:r w:rsidRPr="009F4EE3">
        <w:rPr>
          <w:noProof/>
          <w:sz w:val="24"/>
        </w:rPr>
        <w:t xml:space="preserve">, </w:t>
      </w:r>
      <w:r w:rsidRPr="009F4EE3">
        <w:rPr>
          <w:i/>
          <w:iCs/>
          <w:noProof/>
          <w:sz w:val="24"/>
        </w:rPr>
        <w:t>17</w:t>
      </w:r>
      <w:r w:rsidRPr="009F4EE3">
        <w:rPr>
          <w:noProof/>
          <w:sz w:val="24"/>
        </w:rPr>
        <w:t>(8), e084010. https://doi.org/10.1088/1748-9326/ac7ed8</w:t>
      </w:r>
    </w:p>
    <w:p w14:paraId="513E4AE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Novick, K. A., Biederman, J. A., Desai, A. R., Litvak, M. E., Moore, D. J. P., Scott, R. L., &amp; Torn, M. S. (2018). The AmeriFlux network: A coalition of the willing. </w:t>
      </w:r>
      <w:r w:rsidRPr="009F4EE3">
        <w:rPr>
          <w:i/>
          <w:iCs/>
          <w:noProof/>
          <w:sz w:val="24"/>
        </w:rPr>
        <w:t>Agricultural and Forest Meteorology</w:t>
      </w:r>
      <w:r w:rsidRPr="009F4EE3">
        <w:rPr>
          <w:noProof/>
          <w:sz w:val="24"/>
        </w:rPr>
        <w:t xml:space="preserve">, </w:t>
      </w:r>
      <w:r w:rsidRPr="009F4EE3">
        <w:rPr>
          <w:i/>
          <w:iCs/>
          <w:noProof/>
          <w:sz w:val="24"/>
        </w:rPr>
        <w:t>249</w:t>
      </w:r>
      <w:r w:rsidRPr="009F4EE3">
        <w:rPr>
          <w:noProof/>
          <w:sz w:val="24"/>
        </w:rPr>
        <w:t>, 444–456. https://doi.org/10.1016/j.agrformet.2017.10.009</w:t>
      </w:r>
    </w:p>
    <w:p w14:paraId="5DCCEEA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Numata, I., Roberts, D. A., Chadwick, O. A., Schimel, J., Sampaio, F. R., Leonidas, F. C., &amp; Soares, J. V. (2007). Characterization of pasture biophysical properties and the impact of grazing intensity using remotely sensed data. </w:t>
      </w:r>
      <w:r w:rsidRPr="009F4EE3">
        <w:rPr>
          <w:i/>
          <w:iCs/>
          <w:noProof/>
          <w:sz w:val="24"/>
        </w:rPr>
        <w:t>Remote Sensing of Environment</w:t>
      </w:r>
      <w:r w:rsidRPr="009F4EE3">
        <w:rPr>
          <w:noProof/>
          <w:sz w:val="24"/>
        </w:rPr>
        <w:t xml:space="preserve">, </w:t>
      </w:r>
      <w:r w:rsidRPr="009F4EE3">
        <w:rPr>
          <w:i/>
          <w:iCs/>
          <w:noProof/>
          <w:sz w:val="24"/>
        </w:rPr>
        <w:t>109</w:t>
      </w:r>
      <w:r w:rsidRPr="009F4EE3">
        <w:rPr>
          <w:noProof/>
          <w:sz w:val="24"/>
        </w:rPr>
        <w:t>(3), 314–327. https://doi.org/10.1016/j.rse.2007.01.013</w:t>
      </w:r>
    </w:p>
    <w:p w14:paraId="19EBEF2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Oliphant, A. J. (2012). Terrestrial ecosystem-atmosphere exchange of CO</w:t>
      </w:r>
      <w:r w:rsidRPr="009F4EE3">
        <w:rPr>
          <w:noProof/>
          <w:sz w:val="24"/>
          <w:vertAlign w:val="subscript"/>
        </w:rPr>
        <w:t>2</w:t>
      </w:r>
      <w:r w:rsidRPr="009F4EE3">
        <w:rPr>
          <w:noProof/>
          <w:sz w:val="24"/>
        </w:rPr>
        <w:t xml:space="preserve">, water and energy from FLUXNET: Review and meta-analysis of a global in-situ observatory. </w:t>
      </w:r>
      <w:r w:rsidRPr="009F4EE3">
        <w:rPr>
          <w:i/>
          <w:iCs/>
          <w:noProof/>
          <w:sz w:val="24"/>
        </w:rPr>
        <w:t>Geography Compass</w:t>
      </w:r>
      <w:r w:rsidRPr="009F4EE3">
        <w:rPr>
          <w:noProof/>
          <w:sz w:val="24"/>
        </w:rPr>
        <w:t xml:space="preserve">, </w:t>
      </w:r>
      <w:r w:rsidRPr="009F4EE3">
        <w:rPr>
          <w:i/>
          <w:iCs/>
          <w:noProof/>
          <w:sz w:val="24"/>
        </w:rPr>
        <w:t>6</w:t>
      </w:r>
      <w:r w:rsidRPr="009F4EE3">
        <w:rPr>
          <w:noProof/>
          <w:sz w:val="24"/>
        </w:rPr>
        <w:t>(12), 689–705. https://doi.org/10.1111/gec3.12009</w:t>
      </w:r>
    </w:p>
    <w:p w14:paraId="0B439D3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de Oliveira, D. C., Maia, S. M. F., Freitas, R. de C. A., &amp; Cerri, C. E. P. (2022). Changes in soil carbon and soil carbon sequestration potential under different types of pasture management in Brazil. </w:t>
      </w:r>
      <w:r w:rsidRPr="009F4EE3">
        <w:rPr>
          <w:i/>
          <w:iCs/>
          <w:noProof/>
          <w:sz w:val="24"/>
        </w:rPr>
        <w:t>Regional Environmental Change</w:t>
      </w:r>
      <w:r w:rsidRPr="009F4EE3">
        <w:rPr>
          <w:noProof/>
          <w:sz w:val="24"/>
        </w:rPr>
        <w:t xml:space="preserve">, </w:t>
      </w:r>
      <w:r w:rsidRPr="009F4EE3">
        <w:rPr>
          <w:i/>
          <w:iCs/>
          <w:noProof/>
          <w:sz w:val="24"/>
        </w:rPr>
        <w:t>22</w:t>
      </w:r>
      <w:r w:rsidRPr="009F4EE3">
        <w:rPr>
          <w:noProof/>
          <w:sz w:val="24"/>
        </w:rPr>
        <w:t>(3), e87. https://doi.org/10.1007/s10113-022-01945-9</w:t>
      </w:r>
    </w:p>
    <w:p w14:paraId="3BF40BB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Olson, D. M., Eric Dinerstein, Eric D. Wikramanayake, Neil D. Burgess, George V. N. Powell, Emma C. Underwood, et al. (2001). Terrestrial Ecoregions of the World: A New Map of Life on Earth. </w:t>
      </w:r>
      <w:r w:rsidRPr="009F4EE3">
        <w:rPr>
          <w:i/>
          <w:iCs/>
          <w:noProof/>
          <w:sz w:val="24"/>
        </w:rPr>
        <w:t>BioScience</w:t>
      </w:r>
      <w:r w:rsidRPr="009F4EE3">
        <w:rPr>
          <w:noProof/>
          <w:sz w:val="24"/>
        </w:rPr>
        <w:t xml:space="preserve">, </w:t>
      </w:r>
      <w:r w:rsidRPr="009F4EE3">
        <w:rPr>
          <w:i/>
          <w:iCs/>
          <w:noProof/>
          <w:sz w:val="24"/>
        </w:rPr>
        <w:t>51</w:t>
      </w:r>
      <w:r w:rsidRPr="009F4EE3">
        <w:rPr>
          <w:noProof/>
          <w:sz w:val="24"/>
        </w:rPr>
        <w:t>(11), 933–938.</w:t>
      </w:r>
    </w:p>
    <w:p w14:paraId="1C72748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Otunga, C., Odindi, J., Mutanga, O., &amp; Adjorlolo, C. (2019). Evaluating the potential of the red edge channel for C3 (Festuca spp.) grass discrimination using Sentinel-2 and Rapid Eye satellite image data. </w:t>
      </w:r>
      <w:r w:rsidRPr="009F4EE3">
        <w:rPr>
          <w:i/>
          <w:iCs/>
          <w:noProof/>
          <w:sz w:val="24"/>
        </w:rPr>
        <w:t>Geocarto International</w:t>
      </w:r>
      <w:r w:rsidRPr="009F4EE3">
        <w:rPr>
          <w:noProof/>
          <w:sz w:val="24"/>
        </w:rPr>
        <w:t xml:space="preserve">, </w:t>
      </w:r>
      <w:r w:rsidRPr="009F4EE3">
        <w:rPr>
          <w:i/>
          <w:iCs/>
          <w:noProof/>
          <w:sz w:val="24"/>
        </w:rPr>
        <w:t>34</w:t>
      </w:r>
      <w:r w:rsidRPr="009F4EE3">
        <w:rPr>
          <w:noProof/>
          <w:sz w:val="24"/>
        </w:rPr>
        <w:t>(10), 1123–1143. https://doi.org/10.1080/10106049.2018.1474274</w:t>
      </w:r>
    </w:p>
    <w:p w14:paraId="6DED1AF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Parton, W. J., Hartman, M., Ojima, D., &amp; Schimel, D. (1998). DAYCENT and its land surface submodel: Description and testing. </w:t>
      </w:r>
      <w:r w:rsidRPr="009F4EE3">
        <w:rPr>
          <w:i/>
          <w:iCs/>
          <w:noProof/>
          <w:sz w:val="24"/>
        </w:rPr>
        <w:t>Global and Planetary Change</w:t>
      </w:r>
      <w:r w:rsidRPr="009F4EE3">
        <w:rPr>
          <w:noProof/>
          <w:sz w:val="24"/>
        </w:rPr>
        <w:t>. Elsevier\. https://doi.org/10.1016/S0921-8181(98)00040-X</w:t>
      </w:r>
    </w:p>
    <w:p w14:paraId="3C311B6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Paudel, K. P., &amp; Andersen, P. (2010). Assessing rangeland degradation using multi temporal satellite images and grazing pressure surface model in Upper Mustang, Trans Himalaya, </w:t>
      </w:r>
      <w:r w:rsidRPr="009F4EE3">
        <w:rPr>
          <w:noProof/>
          <w:sz w:val="24"/>
        </w:rPr>
        <w:lastRenderedPageBreak/>
        <w:t xml:space="preserve">Nepal. </w:t>
      </w:r>
      <w:r w:rsidRPr="009F4EE3">
        <w:rPr>
          <w:i/>
          <w:iCs/>
          <w:noProof/>
          <w:sz w:val="24"/>
        </w:rPr>
        <w:t>Remote Sensing of Environment</w:t>
      </w:r>
      <w:r w:rsidRPr="009F4EE3">
        <w:rPr>
          <w:noProof/>
          <w:sz w:val="24"/>
        </w:rPr>
        <w:t xml:space="preserve">, </w:t>
      </w:r>
      <w:r w:rsidRPr="009F4EE3">
        <w:rPr>
          <w:i/>
          <w:iCs/>
          <w:noProof/>
          <w:sz w:val="24"/>
        </w:rPr>
        <w:t>114</w:t>
      </w:r>
      <w:r w:rsidRPr="009F4EE3">
        <w:rPr>
          <w:noProof/>
          <w:sz w:val="24"/>
        </w:rPr>
        <w:t>(8), 1845–1855. https://doi.org/10.1016/j.rse.2010.03.011</w:t>
      </w:r>
    </w:p>
    <w:p w14:paraId="42F4060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Pepper, D. A., Del Grosso, S. J., McMurtrie, R. E., &amp; Parton, W. J. (2005). Simulated carbon sink response of shortgrass steppe, tallgrass prairie and forest ecosystems to rising [CO</w:t>
      </w:r>
      <w:r w:rsidRPr="009F4EE3">
        <w:rPr>
          <w:noProof/>
          <w:sz w:val="24"/>
          <w:vertAlign w:val="subscript"/>
        </w:rPr>
        <w:t>2</w:t>
      </w:r>
      <w:r w:rsidRPr="009F4EE3">
        <w:rPr>
          <w:noProof/>
          <w:sz w:val="24"/>
        </w:rPr>
        <w:t xml:space="preserve">], temperature and nitrogen input. </w:t>
      </w:r>
      <w:r w:rsidRPr="009F4EE3">
        <w:rPr>
          <w:i/>
          <w:iCs/>
          <w:noProof/>
          <w:sz w:val="24"/>
        </w:rPr>
        <w:t>Global Biogeochemical Cycles</w:t>
      </w:r>
      <w:r w:rsidRPr="009F4EE3">
        <w:rPr>
          <w:noProof/>
          <w:sz w:val="24"/>
        </w:rPr>
        <w:t xml:space="preserve">, </w:t>
      </w:r>
      <w:r w:rsidRPr="009F4EE3">
        <w:rPr>
          <w:i/>
          <w:iCs/>
          <w:noProof/>
          <w:sz w:val="24"/>
        </w:rPr>
        <w:t>19</w:t>
      </w:r>
      <w:r w:rsidRPr="009F4EE3">
        <w:rPr>
          <w:noProof/>
          <w:sz w:val="24"/>
        </w:rPr>
        <w:t>(1), 1–20. https://doi.org/10.1029/2004GB002226</w:t>
      </w:r>
    </w:p>
    <w:p w14:paraId="2697C6F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Phukubye, K., Mutema, M., Buthelezi, N., Muchaonyerwa, P., Cerri, C., &amp; Chaplot, V. (2022). On the impact of grassland management on soil carbon stocks: a worldwide meta-analysis. </w:t>
      </w:r>
      <w:r w:rsidRPr="009F4EE3">
        <w:rPr>
          <w:i/>
          <w:iCs/>
          <w:noProof/>
          <w:sz w:val="24"/>
        </w:rPr>
        <w:t>Geoderma Regional</w:t>
      </w:r>
      <w:r w:rsidRPr="009F4EE3">
        <w:rPr>
          <w:noProof/>
          <w:sz w:val="24"/>
        </w:rPr>
        <w:t xml:space="preserve">, </w:t>
      </w:r>
      <w:r w:rsidRPr="009F4EE3">
        <w:rPr>
          <w:i/>
          <w:iCs/>
          <w:noProof/>
          <w:sz w:val="24"/>
        </w:rPr>
        <w:t>28</w:t>
      </w:r>
      <w:r w:rsidRPr="009F4EE3">
        <w:rPr>
          <w:noProof/>
          <w:sz w:val="24"/>
        </w:rPr>
        <w:t>, e00479. https://doi.org/10.1016/j.geodrs.2021.e00479</w:t>
      </w:r>
    </w:p>
    <w:p w14:paraId="27B96AD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Qi, Y., Wei, W., Chen, C., &amp; Chen, L. (2019). Plant root-shoot biomass allocation over diverse biomes: A global synthesis. </w:t>
      </w:r>
      <w:r w:rsidRPr="009F4EE3">
        <w:rPr>
          <w:i/>
          <w:iCs/>
          <w:noProof/>
          <w:sz w:val="24"/>
        </w:rPr>
        <w:t>Global Ecology and Conservation</w:t>
      </w:r>
      <w:r w:rsidRPr="009F4EE3">
        <w:rPr>
          <w:noProof/>
          <w:sz w:val="24"/>
        </w:rPr>
        <w:t xml:space="preserve">, </w:t>
      </w:r>
      <w:r w:rsidRPr="009F4EE3">
        <w:rPr>
          <w:i/>
          <w:iCs/>
          <w:noProof/>
          <w:sz w:val="24"/>
        </w:rPr>
        <w:t>18</w:t>
      </w:r>
      <w:r w:rsidRPr="009F4EE3">
        <w:rPr>
          <w:noProof/>
          <w:sz w:val="24"/>
        </w:rPr>
        <w:t>, e00606. https://doi.org/10.1016/j.gecco.2019.e00606</w:t>
      </w:r>
    </w:p>
    <w:p w14:paraId="0F459EC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R Core Team. (2023). R: A language and environment for Statistical Computing. Retrieved April 12, 2023, from https://www.r-project.org/</w:t>
      </w:r>
    </w:p>
    <w:p w14:paraId="7CE8900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Ramcharan, A., Hengl, T., Nauman, T., Brungard, C., Waltman, S., Wills, S., &amp; Thompson, J. (2018). Soil property and class maps of the conterminous United States at 100-meter spatial resolution. </w:t>
      </w:r>
      <w:r w:rsidRPr="009F4EE3">
        <w:rPr>
          <w:i/>
          <w:iCs/>
          <w:noProof/>
          <w:sz w:val="24"/>
        </w:rPr>
        <w:t>Soil Science Society of America Journal</w:t>
      </w:r>
      <w:r w:rsidRPr="009F4EE3">
        <w:rPr>
          <w:noProof/>
          <w:sz w:val="24"/>
        </w:rPr>
        <w:t xml:space="preserve">, </w:t>
      </w:r>
      <w:r w:rsidRPr="009F4EE3">
        <w:rPr>
          <w:i/>
          <w:iCs/>
          <w:noProof/>
          <w:sz w:val="24"/>
        </w:rPr>
        <w:t>82</w:t>
      </w:r>
      <w:r w:rsidRPr="009F4EE3">
        <w:rPr>
          <w:noProof/>
          <w:sz w:val="24"/>
        </w:rPr>
        <w:t>(1), 186–201. https://doi.org/10.2136/sssaj2017.04.0122</w:t>
      </w:r>
    </w:p>
    <w:p w14:paraId="00EB548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Reeves, M. C., &amp; Mitchell, J. E. (2011). Extent of coterminous US rangelands: Quantifying implications of differing agency perspectives. </w:t>
      </w:r>
      <w:r w:rsidRPr="009F4EE3">
        <w:rPr>
          <w:i/>
          <w:iCs/>
          <w:noProof/>
          <w:sz w:val="24"/>
        </w:rPr>
        <w:t>Rangeland Ecology and Management</w:t>
      </w:r>
      <w:r w:rsidRPr="009F4EE3">
        <w:rPr>
          <w:noProof/>
          <w:sz w:val="24"/>
        </w:rPr>
        <w:t xml:space="preserve">, </w:t>
      </w:r>
      <w:r w:rsidRPr="009F4EE3">
        <w:rPr>
          <w:i/>
          <w:iCs/>
          <w:noProof/>
          <w:sz w:val="24"/>
        </w:rPr>
        <w:t>64</w:t>
      </w:r>
      <w:r w:rsidRPr="009F4EE3">
        <w:rPr>
          <w:noProof/>
          <w:sz w:val="24"/>
        </w:rPr>
        <w:t>(6), 585–597. https://doi.org/10.2111/REM-D-11-00035.1</w:t>
      </w:r>
    </w:p>
    <w:p w14:paraId="5F16D18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Reinermann, S., Asam, S., &amp; Kuenzer, C. (2020). Remote sensing of grassland production and management-A review. </w:t>
      </w:r>
      <w:r w:rsidRPr="009F4EE3">
        <w:rPr>
          <w:i/>
          <w:iCs/>
          <w:noProof/>
          <w:sz w:val="24"/>
        </w:rPr>
        <w:t>Remote Sensing</w:t>
      </w:r>
      <w:r w:rsidRPr="009F4EE3">
        <w:rPr>
          <w:noProof/>
          <w:sz w:val="24"/>
        </w:rPr>
        <w:t xml:space="preserve">, </w:t>
      </w:r>
      <w:r w:rsidRPr="009F4EE3">
        <w:rPr>
          <w:i/>
          <w:iCs/>
          <w:noProof/>
          <w:sz w:val="24"/>
        </w:rPr>
        <w:t>12</w:t>
      </w:r>
      <w:r w:rsidRPr="009F4EE3">
        <w:rPr>
          <w:noProof/>
          <w:sz w:val="24"/>
        </w:rPr>
        <w:t>(12), e1949. https://doi.org/10.3390/rs12121949</w:t>
      </w:r>
    </w:p>
    <w:p w14:paraId="0971060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Robertson, A. D., Paustian, K., Ogle, S., Wallenstein, M. D., Lugato, E., &amp; Francesca Cotrufo, M. (2019). Unifying soil organic matter formation and persistence frameworks: The MEMS model. </w:t>
      </w:r>
      <w:r w:rsidRPr="009F4EE3">
        <w:rPr>
          <w:i/>
          <w:iCs/>
          <w:noProof/>
          <w:sz w:val="24"/>
        </w:rPr>
        <w:t>Biogeosciences</w:t>
      </w:r>
      <w:r w:rsidRPr="009F4EE3">
        <w:rPr>
          <w:noProof/>
          <w:sz w:val="24"/>
        </w:rPr>
        <w:t xml:space="preserve">, </w:t>
      </w:r>
      <w:r w:rsidRPr="009F4EE3">
        <w:rPr>
          <w:i/>
          <w:iCs/>
          <w:noProof/>
          <w:sz w:val="24"/>
        </w:rPr>
        <w:t>16</w:t>
      </w:r>
      <w:r w:rsidRPr="009F4EE3">
        <w:rPr>
          <w:noProof/>
          <w:sz w:val="24"/>
        </w:rPr>
        <w:t>(6), 1225–1248. https://doi.org/10.5194/bg-16-1225-2019</w:t>
      </w:r>
    </w:p>
    <w:p w14:paraId="5000312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Rolfe, J., Star, M., &amp; Curcio, A. (2021). Can extension programs improve grazing management in rangelands: A case study in Australia’s Great Barrier Reef catchments. </w:t>
      </w:r>
      <w:r w:rsidRPr="009F4EE3">
        <w:rPr>
          <w:i/>
          <w:iCs/>
          <w:noProof/>
          <w:sz w:val="24"/>
        </w:rPr>
        <w:t>Rangeland Journal</w:t>
      </w:r>
      <w:r w:rsidRPr="009F4EE3">
        <w:rPr>
          <w:noProof/>
          <w:sz w:val="24"/>
        </w:rPr>
        <w:t xml:space="preserve">, </w:t>
      </w:r>
      <w:r w:rsidRPr="009F4EE3">
        <w:rPr>
          <w:i/>
          <w:iCs/>
          <w:noProof/>
          <w:sz w:val="24"/>
        </w:rPr>
        <w:t>42</w:t>
      </w:r>
      <w:r w:rsidRPr="009F4EE3">
        <w:rPr>
          <w:noProof/>
          <w:sz w:val="24"/>
        </w:rPr>
        <w:t>(6), 447–459. https://doi.org/10.1071/RJ20098</w:t>
      </w:r>
    </w:p>
    <w:p w14:paraId="32696D8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Rossum, G. Van, &amp; Drake, F. L. (1995). </w:t>
      </w:r>
      <w:r w:rsidRPr="009F4EE3">
        <w:rPr>
          <w:i/>
          <w:iCs/>
          <w:noProof/>
          <w:sz w:val="24"/>
        </w:rPr>
        <w:t>Python tutorial</w:t>
      </w:r>
      <w:r w:rsidRPr="009F4EE3">
        <w:rPr>
          <w:noProof/>
          <w:sz w:val="24"/>
        </w:rPr>
        <w:t>. The Netherlands. Retrieved from http://www.python.org/doc/ref/</w:t>
      </w:r>
    </w:p>
    <w:p w14:paraId="119B597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Roy, D. P., Wulder, M. A., Loveland, T. R., C.E., W., Allen, R. G., Anderson, M. C., et al. (2014). Landsat-8: Science and product vision for terrestrial global change research. </w:t>
      </w:r>
      <w:r w:rsidRPr="009F4EE3">
        <w:rPr>
          <w:i/>
          <w:iCs/>
          <w:noProof/>
          <w:sz w:val="24"/>
        </w:rPr>
        <w:t>Remote Sensing of Environment</w:t>
      </w:r>
      <w:r w:rsidRPr="009F4EE3">
        <w:rPr>
          <w:noProof/>
          <w:sz w:val="24"/>
        </w:rPr>
        <w:t xml:space="preserve">, </w:t>
      </w:r>
      <w:r w:rsidRPr="009F4EE3">
        <w:rPr>
          <w:i/>
          <w:iCs/>
          <w:noProof/>
          <w:sz w:val="24"/>
        </w:rPr>
        <w:t>145</w:t>
      </w:r>
      <w:r w:rsidRPr="009F4EE3">
        <w:rPr>
          <w:noProof/>
          <w:sz w:val="24"/>
        </w:rPr>
        <w:t>, 154–172. https://doi.org/10.1016/j.rse.2014.02.001</w:t>
      </w:r>
    </w:p>
    <w:p w14:paraId="0FC2FA8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Sanderman, J., &amp; Amundson, R. (2008). A comparative study of dissolved organic carbon transport and stabilization in California forest and grassland soils. </w:t>
      </w:r>
      <w:r w:rsidRPr="009F4EE3">
        <w:rPr>
          <w:i/>
          <w:iCs/>
          <w:noProof/>
          <w:sz w:val="24"/>
        </w:rPr>
        <w:t>Biogeochemistry</w:t>
      </w:r>
      <w:r w:rsidRPr="009F4EE3">
        <w:rPr>
          <w:noProof/>
          <w:sz w:val="24"/>
        </w:rPr>
        <w:t xml:space="preserve">, </w:t>
      </w:r>
      <w:r w:rsidRPr="009F4EE3">
        <w:rPr>
          <w:i/>
          <w:iCs/>
          <w:noProof/>
          <w:sz w:val="24"/>
        </w:rPr>
        <w:t>89</w:t>
      </w:r>
      <w:r w:rsidRPr="009F4EE3">
        <w:rPr>
          <w:noProof/>
          <w:sz w:val="24"/>
        </w:rPr>
        <w:t>(3), 309–327. https://doi.org/10.1007/s10533-008-9221-8</w:t>
      </w:r>
    </w:p>
    <w:p w14:paraId="4611C28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Sanderman, J., Hengl, T., &amp; Fiske, G. J. (2017). Soil carbon debt of 12,000 years of human land use. </w:t>
      </w:r>
      <w:r w:rsidRPr="009F4EE3">
        <w:rPr>
          <w:i/>
          <w:iCs/>
          <w:noProof/>
          <w:sz w:val="24"/>
        </w:rPr>
        <w:t>Proceedings of the National Academy of Sciences of the United States of America</w:t>
      </w:r>
      <w:r w:rsidRPr="009F4EE3">
        <w:rPr>
          <w:noProof/>
          <w:sz w:val="24"/>
        </w:rPr>
        <w:t xml:space="preserve">, </w:t>
      </w:r>
      <w:r w:rsidRPr="009F4EE3">
        <w:rPr>
          <w:i/>
          <w:iCs/>
          <w:noProof/>
          <w:sz w:val="24"/>
        </w:rPr>
        <w:t>114</w:t>
      </w:r>
      <w:r w:rsidRPr="009F4EE3">
        <w:rPr>
          <w:noProof/>
          <w:sz w:val="24"/>
        </w:rPr>
        <w:t>(36), 9575–9580. https://doi.org/10.1073/pnas.1706103114</w:t>
      </w:r>
    </w:p>
    <w:p w14:paraId="32611C7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Sanderson, J. S., Beutler, C., Brown, J. R., Burke, I., Chapman, T., Conant, R. T., et al. (2020). Cattle, conservation, and carbon in the western great plains. </w:t>
      </w:r>
      <w:r w:rsidRPr="009F4EE3">
        <w:rPr>
          <w:i/>
          <w:iCs/>
          <w:noProof/>
          <w:sz w:val="24"/>
        </w:rPr>
        <w:t>Journal of Soil and Water Conservation</w:t>
      </w:r>
      <w:r w:rsidRPr="009F4EE3">
        <w:rPr>
          <w:noProof/>
          <w:sz w:val="24"/>
        </w:rPr>
        <w:t xml:space="preserve">, </w:t>
      </w:r>
      <w:r w:rsidRPr="009F4EE3">
        <w:rPr>
          <w:i/>
          <w:iCs/>
          <w:noProof/>
          <w:sz w:val="24"/>
        </w:rPr>
        <w:t>75</w:t>
      </w:r>
      <w:r w:rsidRPr="009F4EE3">
        <w:rPr>
          <w:noProof/>
          <w:sz w:val="24"/>
        </w:rPr>
        <w:t>(1), 5A-12A. https://doi.org/10.2489/JSWC.75.1.5A</w:t>
      </w:r>
    </w:p>
    <w:p w14:paraId="528F115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Sándor, R., Barcza, Z., Hidy, D., Lellei-Kovács, E., Ma, S., &amp; Bellocchi, G. (2016). Modelling of grassland fluxes in Europe: Evaluation of two biogeochemical models. </w:t>
      </w:r>
      <w:r w:rsidRPr="009F4EE3">
        <w:rPr>
          <w:i/>
          <w:iCs/>
          <w:noProof/>
          <w:sz w:val="24"/>
        </w:rPr>
        <w:t>Agriculture, Ecosystems and Environment</w:t>
      </w:r>
      <w:r w:rsidRPr="009F4EE3">
        <w:rPr>
          <w:noProof/>
          <w:sz w:val="24"/>
        </w:rPr>
        <w:t xml:space="preserve">, </w:t>
      </w:r>
      <w:r w:rsidRPr="009F4EE3">
        <w:rPr>
          <w:i/>
          <w:iCs/>
          <w:noProof/>
          <w:sz w:val="24"/>
        </w:rPr>
        <w:t>215</w:t>
      </w:r>
      <w:r w:rsidRPr="009F4EE3">
        <w:rPr>
          <w:noProof/>
          <w:sz w:val="24"/>
        </w:rPr>
        <w:t>, 1–19. https://doi.org/10.1016/j.agee.2015.09.001</w:t>
      </w:r>
    </w:p>
    <w:p w14:paraId="55995BA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lastRenderedPageBreak/>
        <w:t xml:space="preserve">Santra, P., Kumar, M., Panwar, N. R., &amp; Das, B. S. (2017). Digital soil mapping and best management of soil resources: A brief discussion with few case studies. In A. Rakshit, P. C. Abhilash, H. B. Singh, &amp; S. Ghosh (Eds.), </w:t>
      </w:r>
      <w:r w:rsidRPr="009F4EE3">
        <w:rPr>
          <w:i/>
          <w:iCs/>
          <w:noProof/>
          <w:sz w:val="24"/>
        </w:rPr>
        <w:t>Adaptive Soil Management: From Theory to Practices</w:t>
      </w:r>
      <w:r w:rsidRPr="009F4EE3">
        <w:rPr>
          <w:noProof/>
          <w:sz w:val="24"/>
        </w:rPr>
        <w:t xml:space="preserve"> (pp. 3–38). Singapore: Springer Singapore. https://doi.org/10.1007/978-981-10-3638-5_1</w:t>
      </w:r>
    </w:p>
    <w:p w14:paraId="775EB53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Schaaf, C., &amp; Wang, Z. (2015). MODIS/Terra and Aqua Nadir BRDF-Adjusted Reflectance Daily L3 Global 500 m SIN Grid V006. https://doi.org/10.5067/MODIS/MCD43A4.061</w:t>
      </w:r>
    </w:p>
    <w:p w14:paraId="075BEA9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Schmelzer, L., Perryman, B., Bruce, B., Schultz, B., McAdoo, K., McCuin, G., et al. (2014). CASE STUDY: Reducing cheatgrass (Bromus tectorum L.) fuel loads using fall cattle grazing. </w:t>
      </w:r>
      <w:r w:rsidRPr="009F4EE3">
        <w:rPr>
          <w:i/>
          <w:iCs/>
          <w:noProof/>
          <w:sz w:val="24"/>
        </w:rPr>
        <w:t>Professional Animal Scientist</w:t>
      </w:r>
      <w:r w:rsidRPr="009F4EE3">
        <w:rPr>
          <w:noProof/>
          <w:sz w:val="24"/>
        </w:rPr>
        <w:t xml:space="preserve">, </w:t>
      </w:r>
      <w:r w:rsidRPr="009F4EE3">
        <w:rPr>
          <w:i/>
          <w:iCs/>
          <w:noProof/>
          <w:sz w:val="24"/>
        </w:rPr>
        <w:t>30</w:t>
      </w:r>
      <w:r w:rsidRPr="009F4EE3">
        <w:rPr>
          <w:noProof/>
          <w:sz w:val="24"/>
        </w:rPr>
        <w:t>(2), 270–278. https://doi.org/10.15232/S1080-7446(15)30112-1</w:t>
      </w:r>
    </w:p>
    <w:p w14:paraId="6C44297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Scott, R. L., Johnston, M. R., Knowles, J. F., MacBean, N., Mahmud, K., Roby, M. C., &amp; Dannenberg, M. P. (2023). Interannual variability of spring and summer monsoon growing season carbon exchange at a semiarid savanna over nearly two decades. </w:t>
      </w:r>
      <w:r w:rsidRPr="009F4EE3">
        <w:rPr>
          <w:i/>
          <w:iCs/>
          <w:noProof/>
          <w:sz w:val="24"/>
        </w:rPr>
        <w:t>Agricultural and Forest Meteorology</w:t>
      </w:r>
      <w:r w:rsidRPr="009F4EE3">
        <w:rPr>
          <w:noProof/>
          <w:sz w:val="24"/>
        </w:rPr>
        <w:t xml:space="preserve">, </w:t>
      </w:r>
      <w:r w:rsidRPr="009F4EE3">
        <w:rPr>
          <w:i/>
          <w:iCs/>
          <w:noProof/>
          <w:sz w:val="24"/>
        </w:rPr>
        <w:t>339</w:t>
      </w:r>
      <w:r w:rsidRPr="009F4EE3">
        <w:rPr>
          <w:noProof/>
          <w:sz w:val="24"/>
        </w:rPr>
        <w:t>, e109584. https://doi.org/10.1016/j.agrformet.2023.109584</w:t>
      </w:r>
    </w:p>
    <w:p w14:paraId="0DF8201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Shao, C., Chen, J., Chu, H., Lafortezza, R., Dong, G., Abraha, M., et al. (2017). Grassland productivity and carbon sequestration in Mongolian grasslands: The underlying mechanisms and nomadic implications. </w:t>
      </w:r>
      <w:r w:rsidRPr="009F4EE3">
        <w:rPr>
          <w:i/>
          <w:iCs/>
          <w:noProof/>
          <w:sz w:val="24"/>
        </w:rPr>
        <w:t>Environmental Research</w:t>
      </w:r>
      <w:r w:rsidRPr="009F4EE3">
        <w:rPr>
          <w:noProof/>
          <w:sz w:val="24"/>
        </w:rPr>
        <w:t xml:space="preserve">, </w:t>
      </w:r>
      <w:r w:rsidRPr="009F4EE3">
        <w:rPr>
          <w:i/>
          <w:iCs/>
          <w:noProof/>
          <w:sz w:val="24"/>
        </w:rPr>
        <w:t>159</w:t>
      </w:r>
      <w:r w:rsidRPr="009F4EE3">
        <w:rPr>
          <w:noProof/>
          <w:sz w:val="24"/>
        </w:rPr>
        <w:t>, 124–134. https://doi.org/10.1016/j.envres.2017.08.001</w:t>
      </w:r>
    </w:p>
    <w:p w14:paraId="02F4B68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Shibia, M. G., Röder, A., Fava, F. Pietro, Stellmes, M., &amp; Hill, J. (2022). Integrating satellite images and topographic data for mapping seasonal grazing management units in pastoral landscapes of eastern Africa. </w:t>
      </w:r>
      <w:r w:rsidRPr="009F4EE3">
        <w:rPr>
          <w:i/>
          <w:iCs/>
          <w:noProof/>
          <w:sz w:val="24"/>
        </w:rPr>
        <w:t>Journal of Arid Environments</w:t>
      </w:r>
      <w:r w:rsidRPr="009F4EE3">
        <w:rPr>
          <w:noProof/>
          <w:sz w:val="24"/>
        </w:rPr>
        <w:t xml:space="preserve">, </w:t>
      </w:r>
      <w:r w:rsidRPr="009F4EE3">
        <w:rPr>
          <w:i/>
          <w:iCs/>
          <w:noProof/>
          <w:sz w:val="24"/>
        </w:rPr>
        <w:t>197</w:t>
      </w:r>
      <w:r w:rsidRPr="009F4EE3">
        <w:rPr>
          <w:noProof/>
          <w:sz w:val="24"/>
        </w:rPr>
        <w:t>, e104661. https://doi.org/10.1016/j.jaridenv.2021.104661</w:t>
      </w:r>
    </w:p>
    <w:p w14:paraId="010A2EA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Sibanda, M., Mutanga, O., &amp; Rouget, M. (2016). Comparing the spectral settings of the new generation broad and narrow band sensors in estimating biomass of native grasses grown under different management practices. </w:t>
      </w:r>
      <w:r w:rsidRPr="009F4EE3">
        <w:rPr>
          <w:i/>
          <w:iCs/>
          <w:noProof/>
          <w:sz w:val="24"/>
        </w:rPr>
        <w:t>GIScience &amp; Remote Sensing</w:t>
      </w:r>
      <w:r w:rsidRPr="009F4EE3">
        <w:rPr>
          <w:noProof/>
          <w:sz w:val="24"/>
        </w:rPr>
        <w:t xml:space="preserve">, </w:t>
      </w:r>
      <w:r w:rsidRPr="009F4EE3">
        <w:rPr>
          <w:i/>
          <w:iCs/>
          <w:noProof/>
          <w:sz w:val="24"/>
        </w:rPr>
        <w:t>53</w:t>
      </w:r>
      <w:r w:rsidRPr="009F4EE3">
        <w:rPr>
          <w:noProof/>
          <w:sz w:val="24"/>
        </w:rPr>
        <w:t>(5), 614–633. https://doi.org/10.1080/15481603.2016.1221576</w:t>
      </w:r>
    </w:p>
    <w:p w14:paraId="7EACBAE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Silverman, N. L., Allred, B. W., Donnelly, J. P., Chapman, T. B., Maestas, J. D., Wheaton, J. M., et al. (2019). Low-tech riparian and wet meadow restoration increases vegetation productivity and resilience across semiarid rangelands. </w:t>
      </w:r>
      <w:r w:rsidRPr="009F4EE3">
        <w:rPr>
          <w:i/>
          <w:iCs/>
          <w:noProof/>
          <w:sz w:val="24"/>
        </w:rPr>
        <w:t>Restoration Ecology</w:t>
      </w:r>
      <w:r w:rsidRPr="009F4EE3">
        <w:rPr>
          <w:noProof/>
          <w:sz w:val="24"/>
        </w:rPr>
        <w:t xml:space="preserve">, </w:t>
      </w:r>
      <w:r w:rsidRPr="009F4EE3">
        <w:rPr>
          <w:i/>
          <w:iCs/>
          <w:noProof/>
          <w:sz w:val="24"/>
        </w:rPr>
        <w:t>27</w:t>
      </w:r>
      <w:r w:rsidRPr="009F4EE3">
        <w:rPr>
          <w:noProof/>
          <w:sz w:val="24"/>
        </w:rPr>
        <w:t>(2), 269–278. https://doi.org/10.1111/rec.12869</w:t>
      </w:r>
    </w:p>
    <w:p w14:paraId="438BE30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Smet, M., &amp; Ward, D. (2005). A comparison of the effects of different rangeland management systems on plant species composition, diversity and vegetation structure in a semi-arid savanna. </w:t>
      </w:r>
      <w:r w:rsidRPr="009F4EE3">
        <w:rPr>
          <w:i/>
          <w:iCs/>
          <w:noProof/>
          <w:sz w:val="24"/>
        </w:rPr>
        <w:t>African Journal of Range and Forage Science</w:t>
      </w:r>
      <w:r w:rsidRPr="009F4EE3">
        <w:rPr>
          <w:noProof/>
          <w:sz w:val="24"/>
        </w:rPr>
        <w:t xml:space="preserve">, </w:t>
      </w:r>
      <w:r w:rsidRPr="009F4EE3">
        <w:rPr>
          <w:i/>
          <w:iCs/>
          <w:noProof/>
          <w:sz w:val="24"/>
        </w:rPr>
        <w:t>22</w:t>
      </w:r>
      <w:r w:rsidRPr="009F4EE3">
        <w:rPr>
          <w:noProof/>
          <w:sz w:val="24"/>
        </w:rPr>
        <w:t>(1), 59–71. https://doi.org/10.2989/10220110509485862</w:t>
      </w:r>
    </w:p>
    <w:p w14:paraId="6891F8A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Smith, S. W., Vandenberghe, C., Hastings, A., Johnson, D., Pakeman, R. J., van der Wal, R., &amp; Woodin, S. J. (2014). Optimizing carbon storage within a spatially heterogeneous upland grassland through sheep grazing management. </w:t>
      </w:r>
      <w:r w:rsidRPr="009F4EE3">
        <w:rPr>
          <w:i/>
          <w:iCs/>
          <w:noProof/>
          <w:sz w:val="24"/>
        </w:rPr>
        <w:t>Ecosystems</w:t>
      </w:r>
      <w:r w:rsidRPr="009F4EE3">
        <w:rPr>
          <w:noProof/>
          <w:sz w:val="24"/>
        </w:rPr>
        <w:t xml:space="preserve">, </w:t>
      </w:r>
      <w:r w:rsidRPr="009F4EE3">
        <w:rPr>
          <w:i/>
          <w:iCs/>
          <w:noProof/>
          <w:sz w:val="24"/>
        </w:rPr>
        <w:t>17</w:t>
      </w:r>
      <w:r w:rsidRPr="009F4EE3">
        <w:rPr>
          <w:noProof/>
          <w:sz w:val="24"/>
        </w:rPr>
        <w:t>(3), 418–429. https://doi.org/10.1007/s10021-013-9731-7</w:t>
      </w:r>
    </w:p>
    <w:p w14:paraId="42FC3E4F"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Stoy, P. C., Cook, A. A., Dore, J. E., Kljun, N., Kleindl, W., Jack Brookshire, E. N., &amp; Gerken, T. (2021). Methane efflux from an American bison herd. </w:t>
      </w:r>
      <w:r w:rsidRPr="009F4EE3">
        <w:rPr>
          <w:i/>
          <w:iCs/>
          <w:noProof/>
          <w:sz w:val="24"/>
        </w:rPr>
        <w:t>Biogeosciences</w:t>
      </w:r>
      <w:r w:rsidRPr="009F4EE3">
        <w:rPr>
          <w:noProof/>
          <w:sz w:val="24"/>
        </w:rPr>
        <w:t xml:space="preserve">, </w:t>
      </w:r>
      <w:r w:rsidRPr="009F4EE3">
        <w:rPr>
          <w:i/>
          <w:iCs/>
          <w:noProof/>
          <w:sz w:val="24"/>
        </w:rPr>
        <w:t>18</w:t>
      </w:r>
      <w:r w:rsidRPr="009F4EE3">
        <w:rPr>
          <w:noProof/>
          <w:sz w:val="24"/>
        </w:rPr>
        <w:t>(3), 961–975. https://doi.org/10.5194/bg-18-961-2021</w:t>
      </w:r>
    </w:p>
    <w:p w14:paraId="61EF464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Su, Y., Dong, K., Wang, C., &amp; Liu, X. (2022). Grazing promoted plant litter decomposition and nutrient release: A meta-analysis. </w:t>
      </w:r>
      <w:r w:rsidRPr="009F4EE3">
        <w:rPr>
          <w:i/>
          <w:iCs/>
          <w:noProof/>
          <w:sz w:val="24"/>
        </w:rPr>
        <w:t>Agriculture, Ecosystems and Environment</w:t>
      </w:r>
      <w:r w:rsidRPr="009F4EE3">
        <w:rPr>
          <w:noProof/>
          <w:sz w:val="24"/>
        </w:rPr>
        <w:t xml:space="preserve">, </w:t>
      </w:r>
      <w:r w:rsidRPr="009F4EE3">
        <w:rPr>
          <w:i/>
          <w:iCs/>
          <w:noProof/>
          <w:sz w:val="24"/>
        </w:rPr>
        <w:t>337</w:t>
      </w:r>
      <w:r w:rsidRPr="009F4EE3">
        <w:rPr>
          <w:noProof/>
          <w:sz w:val="24"/>
        </w:rPr>
        <w:t>, e108051. https://doi.org/10.1016/j.agee.2022.108051</w:t>
      </w:r>
    </w:p>
    <w:p w14:paraId="3367C2A6"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Sulman, B. N., Roman, D. T., Scanlon, T. M., Wang, L., &amp; Novick, K. A. (2016). Comparing </w:t>
      </w:r>
      <w:r w:rsidRPr="009F4EE3">
        <w:rPr>
          <w:noProof/>
          <w:sz w:val="24"/>
        </w:rPr>
        <w:lastRenderedPageBreak/>
        <w:t xml:space="preserve">methods for partitioning a decade of carbon dioxide and water vapor fluxes in a temperate forest. </w:t>
      </w:r>
      <w:r w:rsidRPr="009F4EE3">
        <w:rPr>
          <w:i/>
          <w:iCs/>
          <w:noProof/>
          <w:sz w:val="24"/>
        </w:rPr>
        <w:t>Agricultural and Forest Meteorology</w:t>
      </w:r>
      <w:r w:rsidRPr="009F4EE3">
        <w:rPr>
          <w:noProof/>
          <w:sz w:val="24"/>
        </w:rPr>
        <w:t xml:space="preserve">, </w:t>
      </w:r>
      <w:r w:rsidRPr="009F4EE3">
        <w:rPr>
          <w:i/>
          <w:iCs/>
          <w:noProof/>
          <w:sz w:val="24"/>
        </w:rPr>
        <w:t>226</w:t>
      </w:r>
      <w:r w:rsidRPr="009F4EE3">
        <w:rPr>
          <w:noProof/>
          <w:sz w:val="24"/>
        </w:rPr>
        <w:t>–</w:t>
      </w:r>
      <w:r w:rsidRPr="009F4EE3">
        <w:rPr>
          <w:i/>
          <w:iCs/>
          <w:noProof/>
          <w:sz w:val="24"/>
        </w:rPr>
        <w:t>227</w:t>
      </w:r>
      <w:r w:rsidRPr="009F4EE3">
        <w:rPr>
          <w:noProof/>
          <w:sz w:val="24"/>
        </w:rPr>
        <w:t>, 229–245. https://doi.org/10.1016/j.agrformet.2016.06.002</w:t>
      </w:r>
    </w:p>
    <w:p w14:paraId="2EA31E4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Thornton, M. M., Thornton, P. E., Wei, Y., Mayer, B. W., Cook, R. B., &amp; Vose, R. S. (2022). </w:t>
      </w:r>
      <w:r w:rsidRPr="009F4EE3">
        <w:rPr>
          <w:i/>
          <w:iCs/>
          <w:noProof/>
          <w:sz w:val="24"/>
        </w:rPr>
        <w:t>Daymet: Monthly climate summaries on a 1-km grid for North America, version 4 R1</w:t>
      </w:r>
      <w:r w:rsidRPr="009F4EE3">
        <w:rPr>
          <w:noProof/>
          <w:sz w:val="24"/>
        </w:rPr>
        <w:t xml:space="preserve">. </w:t>
      </w:r>
      <w:r w:rsidRPr="009F4EE3">
        <w:rPr>
          <w:i/>
          <w:iCs/>
          <w:noProof/>
          <w:sz w:val="24"/>
        </w:rPr>
        <w:t>Oak Ridge National Laboratory</w:t>
      </w:r>
      <w:r w:rsidRPr="009F4EE3">
        <w:rPr>
          <w:noProof/>
          <w:sz w:val="24"/>
        </w:rPr>
        <w:t>. Oak Ridge, Tennessee, USA. https://doi.org/10.3334/ORNLDAAC/2131</w:t>
      </w:r>
    </w:p>
    <w:p w14:paraId="42CCE6E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Tramontana, G., Migliavacca, M., Jung, M., Reichstein, M., Keenan, T. F., Camps-Valls, G., et al. (2020). Partitioning net carbon dioxide fluxes into photosynthesis and respiration using neural networks. </w:t>
      </w:r>
      <w:r w:rsidRPr="009F4EE3">
        <w:rPr>
          <w:i/>
          <w:iCs/>
          <w:noProof/>
          <w:sz w:val="24"/>
        </w:rPr>
        <w:t>Global Change Biology</w:t>
      </w:r>
      <w:r w:rsidRPr="009F4EE3">
        <w:rPr>
          <w:noProof/>
          <w:sz w:val="24"/>
        </w:rPr>
        <w:t xml:space="preserve">, </w:t>
      </w:r>
      <w:r w:rsidRPr="009F4EE3">
        <w:rPr>
          <w:i/>
          <w:iCs/>
          <w:noProof/>
          <w:sz w:val="24"/>
        </w:rPr>
        <w:t>26</w:t>
      </w:r>
      <w:r w:rsidRPr="009F4EE3">
        <w:rPr>
          <w:noProof/>
          <w:sz w:val="24"/>
        </w:rPr>
        <w:t>(9), 5235–5253. https://doi.org/10.1111/gcb.15203</w:t>
      </w:r>
    </w:p>
    <w:p w14:paraId="49C206D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Tucker, C. J. (1979). Red and photographic infrared linear combinations for monitoring vegetation. </w:t>
      </w:r>
      <w:r w:rsidRPr="009F4EE3">
        <w:rPr>
          <w:i/>
          <w:iCs/>
          <w:noProof/>
          <w:sz w:val="24"/>
        </w:rPr>
        <w:t>Remote Sensing of Environment</w:t>
      </w:r>
      <w:r w:rsidRPr="009F4EE3">
        <w:rPr>
          <w:noProof/>
          <w:sz w:val="24"/>
        </w:rPr>
        <w:t>. Elsevier\. https://doi.org/10.1016/0034-4257(79)90013-0</w:t>
      </w:r>
    </w:p>
    <w:p w14:paraId="338DAD1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Turner, D. P., Ollinger, S. V., &amp; Kimball, J. S. (2004). Integrating remote sensing and ecosystem process models for landscape- to regional-scale analysis of the carbon cycle. </w:t>
      </w:r>
      <w:r w:rsidRPr="009F4EE3">
        <w:rPr>
          <w:i/>
          <w:iCs/>
          <w:noProof/>
          <w:sz w:val="24"/>
        </w:rPr>
        <w:t>BioScience</w:t>
      </w:r>
      <w:r w:rsidRPr="009F4EE3">
        <w:rPr>
          <w:noProof/>
          <w:sz w:val="24"/>
        </w:rPr>
        <w:t xml:space="preserve">, </w:t>
      </w:r>
      <w:r w:rsidRPr="009F4EE3">
        <w:rPr>
          <w:i/>
          <w:iCs/>
          <w:noProof/>
          <w:sz w:val="24"/>
        </w:rPr>
        <w:t>54</w:t>
      </w:r>
      <w:r w:rsidRPr="009F4EE3">
        <w:rPr>
          <w:noProof/>
          <w:sz w:val="24"/>
        </w:rPr>
        <w:t>(6), 573–584. https://doi.org/10.1641/0006-3568(2004)054[0573:IRSAEP]2.0.CO;2</w:t>
      </w:r>
    </w:p>
    <w:p w14:paraId="5D371C2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Twine, T. E., &amp; Kucharik, C. J. (2008). Evaluating a terrestrial ecosystem model with satellite information of greenness. </w:t>
      </w:r>
      <w:r w:rsidRPr="009F4EE3">
        <w:rPr>
          <w:i/>
          <w:iCs/>
          <w:noProof/>
          <w:sz w:val="24"/>
        </w:rPr>
        <w:t>Journal of Geophysical Research: Biogeosciences</w:t>
      </w:r>
      <w:r w:rsidRPr="009F4EE3">
        <w:rPr>
          <w:noProof/>
          <w:sz w:val="24"/>
        </w:rPr>
        <w:t xml:space="preserve">, </w:t>
      </w:r>
      <w:r w:rsidRPr="009F4EE3">
        <w:rPr>
          <w:i/>
          <w:iCs/>
          <w:noProof/>
          <w:sz w:val="24"/>
        </w:rPr>
        <w:t>113</w:t>
      </w:r>
      <w:r w:rsidRPr="009F4EE3">
        <w:rPr>
          <w:noProof/>
          <w:sz w:val="24"/>
        </w:rPr>
        <w:t>(3), e2007JG000599. https://doi.org/10.1029/2007JG000599</w:t>
      </w:r>
    </w:p>
    <w:p w14:paraId="2640169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United States Geological Survey. (2019). Phase 2 gap-fill algorithm: SLC-off gap-filled products gap-fill algorithm methodology. Retrieved October 1, 2023, from https://www.usgs.gov/media/files/landsat-7-slc-gap-filled-products-phase-two-methodology</w:t>
      </w:r>
    </w:p>
    <w:p w14:paraId="03AF02C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Wang, C</w:t>
      </w:r>
      <w:r>
        <w:rPr>
          <w:noProof/>
          <w:sz w:val="24"/>
        </w:rPr>
        <w:t>.</w:t>
      </w:r>
      <w:r w:rsidRPr="009F4EE3">
        <w:rPr>
          <w:noProof/>
          <w:sz w:val="24"/>
        </w:rPr>
        <w:t xml:space="preserve">, Zhang, W., Li, X., Hou, Y., &amp; Wu, J. (2021). A global meta-analysis of the effects of plant diversity on biomass partitioning in grasslands. </w:t>
      </w:r>
      <w:r w:rsidRPr="009F4EE3">
        <w:rPr>
          <w:i/>
          <w:iCs/>
          <w:noProof/>
          <w:sz w:val="24"/>
        </w:rPr>
        <w:t>Environmental Research Letters</w:t>
      </w:r>
      <w:r w:rsidRPr="009F4EE3">
        <w:rPr>
          <w:noProof/>
          <w:sz w:val="24"/>
        </w:rPr>
        <w:t xml:space="preserve">, </w:t>
      </w:r>
      <w:r w:rsidRPr="009F4EE3">
        <w:rPr>
          <w:i/>
          <w:iCs/>
          <w:noProof/>
          <w:sz w:val="24"/>
        </w:rPr>
        <w:t>16</w:t>
      </w:r>
      <w:r w:rsidRPr="009F4EE3">
        <w:rPr>
          <w:noProof/>
          <w:sz w:val="24"/>
        </w:rPr>
        <w:t>(6), e064083. https://doi.org/10.1088/1748-9326/ac0747</w:t>
      </w:r>
    </w:p>
    <w:p w14:paraId="6C09A1E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Wang, C</w:t>
      </w:r>
      <w:r>
        <w:rPr>
          <w:noProof/>
          <w:sz w:val="24"/>
        </w:rPr>
        <w:t>.</w:t>
      </w:r>
      <w:r w:rsidRPr="009F4EE3">
        <w:rPr>
          <w:noProof/>
          <w:sz w:val="24"/>
        </w:rPr>
        <w:t xml:space="preserve">, Zhong, C., &amp; Yang, Z. (2014). Assessing bioenergy-driven agricultural land use change and biomass quantities in the U.S. Midwest with MODIS time series. </w:t>
      </w:r>
      <w:r w:rsidRPr="009F4EE3">
        <w:rPr>
          <w:i/>
          <w:iCs/>
          <w:noProof/>
          <w:sz w:val="24"/>
        </w:rPr>
        <w:t>Journal of Applied Remote Sensing</w:t>
      </w:r>
      <w:r w:rsidRPr="009F4EE3">
        <w:rPr>
          <w:noProof/>
          <w:sz w:val="24"/>
        </w:rPr>
        <w:t xml:space="preserve">, </w:t>
      </w:r>
      <w:r w:rsidRPr="009F4EE3">
        <w:rPr>
          <w:i/>
          <w:iCs/>
          <w:noProof/>
          <w:sz w:val="24"/>
        </w:rPr>
        <w:t>8</w:t>
      </w:r>
      <w:r w:rsidRPr="009F4EE3">
        <w:rPr>
          <w:noProof/>
          <w:sz w:val="24"/>
        </w:rPr>
        <w:t>(1), e085198. https://doi.org/10.1117/1.jrs.8.085198</w:t>
      </w:r>
    </w:p>
    <w:p w14:paraId="4894AAB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Wang, G., Mao, J., Fan, L., Ma, X., &amp; Li, Y. (2022). Effects of climate and grazing on the soil organic carbon dynamics of the grasslands in Northern Xinjiang during the past twenty years. </w:t>
      </w:r>
      <w:r w:rsidRPr="009F4EE3">
        <w:rPr>
          <w:i/>
          <w:iCs/>
          <w:noProof/>
          <w:sz w:val="24"/>
        </w:rPr>
        <w:t>Global Ecology and Conservation</w:t>
      </w:r>
      <w:r w:rsidRPr="009F4EE3">
        <w:rPr>
          <w:noProof/>
          <w:sz w:val="24"/>
        </w:rPr>
        <w:t xml:space="preserve">, </w:t>
      </w:r>
      <w:r w:rsidRPr="009F4EE3">
        <w:rPr>
          <w:i/>
          <w:iCs/>
          <w:noProof/>
          <w:sz w:val="24"/>
        </w:rPr>
        <w:t>34</w:t>
      </w:r>
      <w:r w:rsidRPr="009F4EE3">
        <w:rPr>
          <w:noProof/>
          <w:sz w:val="24"/>
        </w:rPr>
        <w:t>, e02039. https://doi.org/10.1016/j.gecco.2022.e02039</w:t>
      </w:r>
    </w:p>
    <w:p w14:paraId="0A66880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Wang, J., Liu, J., Cao, M., Liu, Y., Yu, G., Li, G., et al. (2011). Modelling carbon fluxes of different forests by coupling a remote-sensing model with an ecosystem process model. </w:t>
      </w:r>
      <w:r w:rsidRPr="009F4EE3">
        <w:rPr>
          <w:i/>
          <w:iCs/>
          <w:noProof/>
          <w:sz w:val="24"/>
        </w:rPr>
        <w:t>International Journal of Remote Sensing</w:t>
      </w:r>
      <w:r w:rsidRPr="009F4EE3">
        <w:rPr>
          <w:noProof/>
          <w:sz w:val="24"/>
        </w:rPr>
        <w:t xml:space="preserve">, </w:t>
      </w:r>
      <w:r w:rsidRPr="009F4EE3">
        <w:rPr>
          <w:i/>
          <w:iCs/>
          <w:noProof/>
          <w:sz w:val="24"/>
        </w:rPr>
        <w:t>32</w:t>
      </w:r>
      <w:r w:rsidRPr="009F4EE3">
        <w:rPr>
          <w:noProof/>
          <w:sz w:val="24"/>
        </w:rPr>
        <w:t>(21), 6539–6567. https://doi.org/10.1080/01431161.2010.512933</w:t>
      </w:r>
    </w:p>
    <w:p w14:paraId="1A7C271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Waterhouse, H., Aburto, F., Rees, G., Griffin‐LaHue, D. E., Salls, W. B., Rippner, D. A., et al. (2023). Diversified vegetation types on rangelands promote multiple soil‐based ecosystem services. </w:t>
      </w:r>
      <w:r w:rsidRPr="009F4EE3">
        <w:rPr>
          <w:i/>
          <w:iCs/>
          <w:noProof/>
          <w:sz w:val="24"/>
        </w:rPr>
        <w:t>Land Degradation &amp; Development</w:t>
      </w:r>
      <w:r w:rsidRPr="009F4EE3">
        <w:rPr>
          <w:noProof/>
          <w:sz w:val="24"/>
        </w:rPr>
        <w:t>. https://doi.org/10.1002/ldr.4967</w:t>
      </w:r>
    </w:p>
    <w:p w14:paraId="27F474F3"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Watts, J. D., Powell, S. L., Lawrence, R. L., &amp; Hilker, T. (2011). Improved classification of conservation tillage adoption using high temporal and synthetic satellite imagery. </w:t>
      </w:r>
      <w:r w:rsidRPr="009F4EE3">
        <w:rPr>
          <w:i/>
          <w:iCs/>
          <w:noProof/>
          <w:sz w:val="24"/>
        </w:rPr>
        <w:t>Remote Sensing of Environment</w:t>
      </w:r>
      <w:r w:rsidRPr="009F4EE3">
        <w:rPr>
          <w:noProof/>
          <w:sz w:val="24"/>
        </w:rPr>
        <w:t xml:space="preserve">, </w:t>
      </w:r>
      <w:r w:rsidRPr="009F4EE3">
        <w:rPr>
          <w:i/>
          <w:iCs/>
          <w:noProof/>
          <w:sz w:val="24"/>
        </w:rPr>
        <w:t>115</w:t>
      </w:r>
      <w:r w:rsidRPr="009F4EE3">
        <w:rPr>
          <w:noProof/>
          <w:sz w:val="24"/>
        </w:rPr>
        <w:t>(1), 66–75. https://doi.org/10.1016/j.rse.2010.08.005</w:t>
      </w:r>
    </w:p>
    <w:p w14:paraId="68374EB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Watts, J. D., Farina, M., Kimball, J. S., Schiferl, L. D., Liu, Z., Arndt, K. A., et al. (2023). Carbon uptake in Eurasian boreal forests dominates the high-latitude net ecosystem carbon budget. </w:t>
      </w:r>
      <w:r w:rsidRPr="009F4EE3">
        <w:rPr>
          <w:i/>
          <w:iCs/>
          <w:noProof/>
          <w:sz w:val="24"/>
        </w:rPr>
        <w:t>Global Change Biology</w:t>
      </w:r>
      <w:r w:rsidRPr="009F4EE3">
        <w:rPr>
          <w:noProof/>
          <w:sz w:val="24"/>
        </w:rPr>
        <w:t xml:space="preserve">, </w:t>
      </w:r>
      <w:r w:rsidRPr="009F4EE3">
        <w:rPr>
          <w:i/>
          <w:iCs/>
          <w:noProof/>
          <w:sz w:val="24"/>
        </w:rPr>
        <w:t>29</w:t>
      </w:r>
      <w:r w:rsidRPr="009F4EE3">
        <w:rPr>
          <w:noProof/>
          <w:sz w:val="24"/>
        </w:rPr>
        <w:t>(7), 1870–1889. https://doi.org/10.1111/gcb.16553</w:t>
      </w:r>
    </w:p>
    <w:p w14:paraId="2CD3A46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lastRenderedPageBreak/>
        <w:t xml:space="preserve">Williams, D. L., Goward, S., &amp; Arvidson, T. (2006). Landsat: Yesterday, today, and tomorrow. </w:t>
      </w:r>
      <w:r w:rsidRPr="009F4EE3">
        <w:rPr>
          <w:i/>
          <w:iCs/>
          <w:noProof/>
          <w:sz w:val="24"/>
        </w:rPr>
        <w:t>Photogrammetric Engineering and Remote Sensing</w:t>
      </w:r>
      <w:r w:rsidRPr="009F4EE3">
        <w:rPr>
          <w:noProof/>
          <w:sz w:val="24"/>
        </w:rPr>
        <w:t xml:space="preserve">, </w:t>
      </w:r>
      <w:r w:rsidRPr="009F4EE3">
        <w:rPr>
          <w:i/>
          <w:iCs/>
          <w:noProof/>
          <w:sz w:val="24"/>
        </w:rPr>
        <w:t>72</w:t>
      </w:r>
      <w:r w:rsidRPr="009F4EE3">
        <w:rPr>
          <w:noProof/>
          <w:sz w:val="24"/>
        </w:rPr>
        <w:t>(10), 1171–1178. https://doi.org/10.14358/PERS.72.10.1171</w:t>
      </w:r>
    </w:p>
    <w:p w14:paraId="4E57397E"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Wilson, K. C., Rehmeier, R. L., Knight, G. L., Wiggam, S., Falke, J. A., Dalgleish, H. J., et al. (2008). Comparing ecosystem goods and services provided by restored and native lands. </w:t>
      </w:r>
      <w:r w:rsidRPr="009F4EE3">
        <w:rPr>
          <w:i/>
          <w:iCs/>
          <w:noProof/>
          <w:sz w:val="24"/>
        </w:rPr>
        <w:t>BioScience</w:t>
      </w:r>
      <w:r w:rsidRPr="009F4EE3">
        <w:rPr>
          <w:noProof/>
          <w:sz w:val="24"/>
        </w:rPr>
        <w:t xml:space="preserve">, </w:t>
      </w:r>
      <w:r w:rsidRPr="009F4EE3">
        <w:rPr>
          <w:i/>
          <w:iCs/>
          <w:noProof/>
          <w:sz w:val="24"/>
        </w:rPr>
        <w:t>58</w:t>
      </w:r>
      <w:r w:rsidRPr="009F4EE3">
        <w:rPr>
          <w:noProof/>
          <w:sz w:val="24"/>
        </w:rPr>
        <w:t>(9), 837–845. Retrieved from http://proxy.lib.sfu.ca/login?url=http://search.ebscohost.com/login.aspx?direct=true&amp;db=eih&amp;AN=34772285&amp;site=ehost-live%0A10.1641/B580909</w:t>
      </w:r>
    </w:p>
    <w:p w14:paraId="03457F7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Xia, Y., Mitchell, K., Ek, M., Sheffield, J., Cosgrove, B., Wood, E., et al. (2012). NLDAS Noah Land Surface Model L4 Hourly 0.125 x 0.125 degree V002. Retrieved November 7, 2022, from https://disc.gsfc.nasa.gov/datasets/NLDAS_NOAH0125_H_002/summary</w:t>
      </w:r>
    </w:p>
    <w:p w14:paraId="1C372F1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Xia, Y</w:t>
      </w:r>
      <w:r>
        <w:rPr>
          <w:noProof/>
          <w:sz w:val="24"/>
        </w:rPr>
        <w:t>.</w:t>
      </w:r>
      <w:r w:rsidRPr="009F4EE3">
        <w:rPr>
          <w:noProof/>
          <w:sz w:val="24"/>
        </w:rPr>
        <w:t xml:space="preserve">, Watts, J. D., Machmuller, M. B., &amp; Sanderman, J. (2022). Machine learning based estimation of field-scale daily, high resolution, multi-depth soil moisture for the Western and Midwestern United States. </w:t>
      </w:r>
      <w:r w:rsidRPr="009F4EE3">
        <w:rPr>
          <w:i/>
          <w:iCs/>
          <w:noProof/>
          <w:sz w:val="24"/>
        </w:rPr>
        <w:t>PeerJ</w:t>
      </w:r>
      <w:r w:rsidRPr="009F4EE3">
        <w:rPr>
          <w:noProof/>
          <w:sz w:val="24"/>
        </w:rPr>
        <w:t xml:space="preserve">, </w:t>
      </w:r>
      <w:r w:rsidRPr="009F4EE3">
        <w:rPr>
          <w:i/>
          <w:iCs/>
          <w:noProof/>
          <w:sz w:val="24"/>
        </w:rPr>
        <w:t>10</w:t>
      </w:r>
      <w:r w:rsidRPr="009F4EE3">
        <w:rPr>
          <w:noProof/>
          <w:sz w:val="24"/>
        </w:rPr>
        <w:t>, e14275. https://doi.org/10.7717/peerj.14275</w:t>
      </w:r>
    </w:p>
    <w:p w14:paraId="0C16C78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Xia, Y</w:t>
      </w:r>
      <w:r>
        <w:rPr>
          <w:noProof/>
          <w:sz w:val="24"/>
        </w:rPr>
        <w:t>.</w:t>
      </w:r>
      <w:r w:rsidRPr="009F4EE3">
        <w:rPr>
          <w:noProof/>
          <w:sz w:val="24"/>
        </w:rPr>
        <w:t xml:space="preserve">, Ford, T. W., Wu, Y., Quiring, S. M., &amp; Ek, M. B. (2015). Automated quality control of in situ soil moisture from the North American Soil Moisture Database using NLDAS-2 products. </w:t>
      </w:r>
      <w:r w:rsidRPr="009F4EE3">
        <w:rPr>
          <w:i/>
          <w:iCs/>
          <w:noProof/>
          <w:sz w:val="24"/>
        </w:rPr>
        <w:t>Journal of Applied Meteorology and Climatology</w:t>
      </w:r>
      <w:r w:rsidRPr="009F4EE3">
        <w:rPr>
          <w:noProof/>
          <w:sz w:val="24"/>
        </w:rPr>
        <w:t xml:space="preserve">, </w:t>
      </w:r>
      <w:r w:rsidRPr="009F4EE3">
        <w:rPr>
          <w:i/>
          <w:iCs/>
          <w:noProof/>
          <w:sz w:val="24"/>
        </w:rPr>
        <w:t>54</w:t>
      </w:r>
      <w:r w:rsidRPr="009F4EE3">
        <w:rPr>
          <w:noProof/>
          <w:sz w:val="24"/>
        </w:rPr>
        <w:t>(6), 1267–1282. https://doi.org/10.1175/JAMC-D-14-0275.1</w:t>
      </w:r>
    </w:p>
    <w:p w14:paraId="60F035D1"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Xu, B., Yang, X. C., Tao, W. G., Qin, Z. H., Liu, H. Q., Miao, J. M., &amp; Bi, Y. Y. (2008). Modis-based remote sensing monitoring of grass production in China. </w:t>
      </w:r>
      <w:r w:rsidRPr="009F4EE3">
        <w:rPr>
          <w:i/>
          <w:iCs/>
          <w:noProof/>
          <w:sz w:val="24"/>
        </w:rPr>
        <w:t>International Journal of Remote Sensing</w:t>
      </w:r>
      <w:r w:rsidRPr="009F4EE3">
        <w:rPr>
          <w:noProof/>
          <w:sz w:val="24"/>
        </w:rPr>
        <w:t xml:space="preserve">, </w:t>
      </w:r>
      <w:r w:rsidRPr="009F4EE3">
        <w:rPr>
          <w:i/>
          <w:iCs/>
          <w:noProof/>
          <w:sz w:val="24"/>
        </w:rPr>
        <w:t>29</w:t>
      </w:r>
      <w:r w:rsidRPr="009F4EE3">
        <w:rPr>
          <w:noProof/>
          <w:sz w:val="24"/>
        </w:rPr>
        <w:t>(17–18), 5313–5327. https://doi.org/10.1080/01431160802036276</w:t>
      </w:r>
    </w:p>
    <w:p w14:paraId="7A4D753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Yagasaki, Y., &amp; Shirato, Y. (2014). Assessment on the rates and potentials of soil organic carbon sequestration in agricultural lands in Japan using a process-based model and spatially explicit land-use change inventories – Part 2: Future potentials. </w:t>
      </w:r>
      <w:r w:rsidRPr="009F4EE3">
        <w:rPr>
          <w:i/>
          <w:iCs/>
          <w:noProof/>
          <w:sz w:val="24"/>
        </w:rPr>
        <w:t>Biogeosciences</w:t>
      </w:r>
      <w:r w:rsidRPr="009F4EE3">
        <w:rPr>
          <w:noProof/>
          <w:sz w:val="24"/>
        </w:rPr>
        <w:t xml:space="preserve">, </w:t>
      </w:r>
      <w:r w:rsidRPr="009F4EE3">
        <w:rPr>
          <w:i/>
          <w:iCs/>
          <w:noProof/>
          <w:sz w:val="24"/>
        </w:rPr>
        <w:t>11</w:t>
      </w:r>
      <w:r w:rsidRPr="009F4EE3">
        <w:rPr>
          <w:noProof/>
          <w:sz w:val="24"/>
        </w:rPr>
        <w:t>(16), 4443–4457. https://doi.org/10.5194/bg-11-4443-2014</w:t>
      </w:r>
    </w:p>
    <w:p w14:paraId="08973E44"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Yang, J., Weisberg, P. J., &amp; Bristow, N. A. (2012). Landsat remote sensing approaches for monitoring long-term tree cover dynamics in semi-arid woodlands: Comparison of vegetation indices and spectral mixture analysis. </w:t>
      </w:r>
      <w:r w:rsidRPr="009F4EE3">
        <w:rPr>
          <w:i/>
          <w:iCs/>
          <w:noProof/>
          <w:sz w:val="24"/>
        </w:rPr>
        <w:t>Remote Sensing of Environment</w:t>
      </w:r>
      <w:r w:rsidRPr="009F4EE3">
        <w:rPr>
          <w:noProof/>
          <w:sz w:val="24"/>
        </w:rPr>
        <w:t xml:space="preserve">, </w:t>
      </w:r>
      <w:r w:rsidRPr="009F4EE3">
        <w:rPr>
          <w:i/>
          <w:iCs/>
          <w:noProof/>
          <w:sz w:val="24"/>
        </w:rPr>
        <w:t>119</w:t>
      </w:r>
      <w:r w:rsidRPr="009F4EE3">
        <w:rPr>
          <w:noProof/>
          <w:sz w:val="24"/>
        </w:rPr>
        <w:t>, 62–71. https://doi.org/10.1016/j.rse.2011.12.004</w:t>
      </w:r>
    </w:p>
    <w:p w14:paraId="2D3C647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Yuan, W., Liu, S., Zhou, G., Zhou, G., Tieszen, L. L., Baldocchi, D., et al. (2007). Deriving a light use efficiency model from eddy covariance flux data for predicting daily gross primary production across biomes. </w:t>
      </w:r>
      <w:r w:rsidRPr="009F4EE3">
        <w:rPr>
          <w:i/>
          <w:iCs/>
          <w:noProof/>
          <w:sz w:val="24"/>
        </w:rPr>
        <w:t>Agricultural and Forest Meteorology</w:t>
      </w:r>
      <w:r w:rsidRPr="009F4EE3">
        <w:rPr>
          <w:noProof/>
          <w:sz w:val="24"/>
        </w:rPr>
        <w:t xml:space="preserve">, </w:t>
      </w:r>
      <w:r w:rsidRPr="009F4EE3">
        <w:rPr>
          <w:i/>
          <w:iCs/>
          <w:noProof/>
          <w:sz w:val="24"/>
        </w:rPr>
        <w:t>143</w:t>
      </w:r>
      <w:r w:rsidRPr="009F4EE3">
        <w:rPr>
          <w:noProof/>
          <w:sz w:val="24"/>
        </w:rPr>
        <w:t>(3–4), 189–207. https://doi.org/10.1016/j.agrformet.2006.12.001</w:t>
      </w:r>
    </w:p>
    <w:p w14:paraId="00E7C23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Yue, S., Pilon, P., Phinney, B., &amp; Cavadias, G. (2002). The influence of autocorrelation on the ability to detect trend in hydrological series. </w:t>
      </w:r>
      <w:r w:rsidRPr="009F4EE3">
        <w:rPr>
          <w:i/>
          <w:iCs/>
          <w:noProof/>
          <w:sz w:val="24"/>
        </w:rPr>
        <w:t>Hydrological Processes</w:t>
      </w:r>
      <w:r w:rsidRPr="009F4EE3">
        <w:rPr>
          <w:noProof/>
          <w:sz w:val="24"/>
        </w:rPr>
        <w:t xml:space="preserve">, </w:t>
      </w:r>
      <w:r w:rsidRPr="009F4EE3">
        <w:rPr>
          <w:i/>
          <w:iCs/>
          <w:noProof/>
          <w:sz w:val="24"/>
        </w:rPr>
        <w:t>16</w:t>
      </w:r>
      <w:r w:rsidRPr="009F4EE3">
        <w:rPr>
          <w:noProof/>
          <w:sz w:val="24"/>
        </w:rPr>
        <w:t>(9), 1807–1829. https://doi.org/10.1002/hyp.1095</w:t>
      </w:r>
    </w:p>
    <w:p w14:paraId="5612714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Zhang, F., Chen, J. M., Chen, J., Gough, C. M., Martin, T. A., &amp; Dragoni, D. (2012). Evaluating spatial and temporal patterns of MODIS GPP over the conterminous U.S. against flux measurements and a process model. </w:t>
      </w:r>
      <w:r w:rsidRPr="009F4EE3">
        <w:rPr>
          <w:i/>
          <w:iCs/>
          <w:noProof/>
          <w:sz w:val="24"/>
        </w:rPr>
        <w:t>Remote Sensing of Environment</w:t>
      </w:r>
      <w:r w:rsidRPr="009F4EE3">
        <w:rPr>
          <w:noProof/>
          <w:sz w:val="24"/>
        </w:rPr>
        <w:t xml:space="preserve">, </w:t>
      </w:r>
      <w:r w:rsidRPr="009F4EE3">
        <w:rPr>
          <w:i/>
          <w:iCs/>
          <w:noProof/>
          <w:sz w:val="24"/>
        </w:rPr>
        <w:t>124</w:t>
      </w:r>
      <w:r w:rsidRPr="009F4EE3">
        <w:rPr>
          <w:noProof/>
          <w:sz w:val="24"/>
        </w:rPr>
        <w:t>, 717–729. https://doi.org/10.1016/j.rse.2012.06.023</w:t>
      </w:r>
    </w:p>
    <w:p w14:paraId="1C916F18"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Zhang, L., Wylie, B., Loveland, T., Fosnight, E., Tieszen, L. L., Ji, L., &amp; Gilmanov, T. (2007). Evaluation and comparison of gross primary production estimates for the Northern Great Plains grasslands. </w:t>
      </w:r>
      <w:r w:rsidRPr="009F4EE3">
        <w:rPr>
          <w:i/>
          <w:iCs/>
          <w:noProof/>
          <w:sz w:val="24"/>
        </w:rPr>
        <w:t>Remote Sensing of Environment</w:t>
      </w:r>
      <w:r w:rsidRPr="009F4EE3">
        <w:rPr>
          <w:noProof/>
          <w:sz w:val="24"/>
        </w:rPr>
        <w:t xml:space="preserve">, </w:t>
      </w:r>
      <w:r w:rsidRPr="009F4EE3">
        <w:rPr>
          <w:i/>
          <w:iCs/>
          <w:noProof/>
          <w:sz w:val="24"/>
        </w:rPr>
        <w:t>106</w:t>
      </w:r>
      <w:r w:rsidRPr="009F4EE3">
        <w:rPr>
          <w:noProof/>
          <w:sz w:val="24"/>
        </w:rPr>
        <w:t>(2), 173–189. https://doi.org/10.1016/j.rse.2006.08.012</w:t>
      </w:r>
    </w:p>
    <w:p w14:paraId="125F9BAD"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Zhang, L. X., Zhou, D. C., Fan, J. W., &amp; Hu, Z. M. (2015). Comparison of four light use efficiency models for estimating terrestrial gross primary production. </w:t>
      </w:r>
      <w:r w:rsidRPr="009F4EE3">
        <w:rPr>
          <w:i/>
          <w:iCs/>
          <w:noProof/>
          <w:sz w:val="24"/>
        </w:rPr>
        <w:t>Ecological Modelling</w:t>
      </w:r>
      <w:r w:rsidRPr="009F4EE3">
        <w:rPr>
          <w:noProof/>
          <w:sz w:val="24"/>
        </w:rPr>
        <w:t xml:space="preserve">, </w:t>
      </w:r>
      <w:r w:rsidRPr="009F4EE3">
        <w:rPr>
          <w:i/>
          <w:iCs/>
          <w:noProof/>
          <w:sz w:val="24"/>
        </w:rPr>
        <w:lastRenderedPageBreak/>
        <w:t>300</w:t>
      </w:r>
      <w:r w:rsidRPr="009F4EE3">
        <w:rPr>
          <w:noProof/>
          <w:sz w:val="24"/>
        </w:rPr>
        <w:t>, 30–39. https://doi.org/10.1016/j.ecolmodel.2015.01.001</w:t>
      </w:r>
    </w:p>
    <w:p w14:paraId="78E3F8E9"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Zhang, W., Zhang, F., Qi, J., &amp; Hou, F. (2017). Modeling impacts of climate change and grazing effects on plant biomass and soil organic carbon in the Qinghai-Tibetan grasslands. </w:t>
      </w:r>
      <w:r w:rsidRPr="009F4EE3">
        <w:rPr>
          <w:i/>
          <w:iCs/>
          <w:noProof/>
          <w:sz w:val="24"/>
        </w:rPr>
        <w:t>Biogeosciences</w:t>
      </w:r>
      <w:r w:rsidRPr="009F4EE3">
        <w:rPr>
          <w:noProof/>
          <w:sz w:val="24"/>
        </w:rPr>
        <w:t xml:space="preserve">, </w:t>
      </w:r>
      <w:r w:rsidRPr="009F4EE3">
        <w:rPr>
          <w:i/>
          <w:iCs/>
          <w:noProof/>
          <w:sz w:val="24"/>
        </w:rPr>
        <w:t>14</w:t>
      </w:r>
      <w:r w:rsidRPr="009F4EE3">
        <w:rPr>
          <w:noProof/>
          <w:sz w:val="24"/>
        </w:rPr>
        <w:t>(23), 5455–5470. https://doi.org/10.5194/bg-14-5455-2017</w:t>
      </w:r>
    </w:p>
    <w:p w14:paraId="5CD10445"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Zhang, Y</w:t>
      </w:r>
      <w:r>
        <w:rPr>
          <w:noProof/>
          <w:sz w:val="24"/>
        </w:rPr>
        <w:t>.</w:t>
      </w:r>
      <w:r w:rsidRPr="009F4EE3">
        <w:rPr>
          <w:noProof/>
          <w:sz w:val="24"/>
        </w:rPr>
        <w:t xml:space="preserve">, Lavallee, J. M., Robertson, A. D., Even, R., Ogle, S. M., Paustian, K., &amp; Cotrufo, M. F. (2021). Simulating measurable ecosystem carbon and nitrogen dynamics with the mechanistically defined MEMS 2.0 model. </w:t>
      </w:r>
      <w:r w:rsidRPr="009F4EE3">
        <w:rPr>
          <w:i/>
          <w:iCs/>
          <w:noProof/>
          <w:sz w:val="24"/>
        </w:rPr>
        <w:t>Biogeosciences</w:t>
      </w:r>
      <w:r w:rsidRPr="009F4EE3">
        <w:rPr>
          <w:noProof/>
          <w:sz w:val="24"/>
        </w:rPr>
        <w:t xml:space="preserve">, </w:t>
      </w:r>
      <w:r w:rsidRPr="009F4EE3">
        <w:rPr>
          <w:i/>
          <w:iCs/>
          <w:noProof/>
          <w:sz w:val="24"/>
        </w:rPr>
        <w:t>18</w:t>
      </w:r>
      <w:r w:rsidRPr="009F4EE3">
        <w:rPr>
          <w:noProof/>
          <w:sz w:val="24"/>
        </w:rPr>
        <w:t>(10), 3147–3171. https://doi.org/10.5194/bg-18-3147-2021</w:t>
      </w:r>
    </w:p>
    <w:p w14:paraId="599DAE32"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Zhang, Y</w:t>
      </w:r>
      <w:r>
        <w:rPr>
          <w:noProof/>
          <w:sz w:val="24"/>
        </w:rPr>
        <w:t>.</w:t>
      </w:r>
      <w:r w:rsidRPr="009F4EE3">
        <w:rPr>
          <w:noProof/>
          <w:sz w:val="24"/>
        </w:rPr>
        <w:t xml:space="preserve">, Tang, Y., Jiang, J., &amp; Yang, Y. (2007). Characterizing the dynamics of soil organic carbon in grasslands on the Qinghai-Tibetan Plateau. </w:t>
      </w:r>
      <w:r w:rsidRPr="009F4EE3">
        <w:rPr>
          <w:i/>
          <w:iCs/>
          <w:noProof/>
          <w:sz w:val="24"/>
        </w:rPr>
        <w:t>Science in China Series D: Earth Sciences</w:t>
      </w:r>
      <w:r w:rsidRPr="009F4EE3">
        <w:rPr>
          <w:noProof/>
          <w:sz w:val="24"/>
        </w:rPr>
        <w:t xml:space="preserve">, </w:t>
      </w:r>
      <w:r w:rsidRPr="009F4EE3">
        <w:rPr>
          <w:i/>
          <w:iCs/>
          <w:noProof/>
          <w:sz w:val="24"/>
        </w:rPr>
        <w:t>50</w:t>
      </w:r>
      <w:r w:rsidRPr="009F4EE3">
        <w:rPr>
          <w:noProof/>
          <w:sz w:val="24"/>
        </w:rPr>
        <w:t>(1), 113–120. https://doi.org/10.1007/s11430-007-2032-2</w:t>
      </w:r>
    </w:p>
    <w:p w14:paraId="113099EB"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Zhang, Z., Zhou, Y., Ju, W., Chen, J., &amp; Xiao, J. (2023). Accumulated soil moisture deficit better indicates the effect of soil water stress on light use efficiency of grasslands during drought years. </w:t>
      </w:r>
      <w:r w:rsidRPr="009F4EE3">
        <w:rPr>
          <w:i/>
          <w:iCs/>
          <w:noProof/>
          <w:sz w:val="24"/>
        </w:rPr>
        <w:t>Agricultural and Forest Meteorology</w:t>
      </w:r>
      <w:r w:rsidRPr="009F4EE3">
        <w:rPr>
          <w:noProof/>
          <w:sz w:val="24"/>
        </w:rPr>
        <w:t xml:space="preserve">, </w:t>
      </w:r>
      <w:r w:rsidRPr="009F4EE3">
        <w:rPr>
          <w:i/>
          <w:iCs/>
          <w:noProof/>
          <w:sz w:val="24"/>
        </w:rPr>
        <w:t>329</w:t>
      </w:r>
      <w:r w:rsidRPr="009F4EE3">
        <w:rPr>
          <w:noProof/>
          <w:sz w:val="24"/>
        </w:rPr>
        <w:t>, e109276. https://doi.org/10.1016/j.agrformet.2022.109276</w:t>
      </w:r>
    </w:p>
    <w:p w14:paraId="108D997A"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Zhou, W., Guan, K., Peng, B., Tang, J., Jin, Z., Jiang, C., et al. (2021). Quantifying carbon budget, crop yields and their responses to environmental variability using the ecosys model for U.S. Midwestern agroecosystems. </w:t>
      </w:r>
      <w:r w:rsidRPr="009F4EE3">
        <w:rPr>
          <w:i/>
          <w:iCs/>
          <w:noProof/>
          <w:sz w:val="24"/>
        </w:rPr>
        <w:t>Agricultural and Forest Meteorology</w:t>
      </w:r>
      <w:r w:rsidRPr="009F4EE3">
        <w:rPr>
          <w:noProof/>
          <w:sz w:val="24"/>
        </w:rPr>
        <w:t xml:space="preserve">, </w:t>
      </w:r>
      <w:r w:rsidRPr="009F4EE3">
        <w:rPr>
          <w:i/>
          <w:iCs/>
          <w:noProof/>
          <w:sz w:val="24"/>
        </w:rPr>
        <w:t>307</w:t>
      </w:r>
      <w:r w:rsidRPr="009F4EE3">
        <w:rPr>
          <w:noProof/>
          <w:sz w:val="24"/>
        </w:rPr>
        <w:t>, e108521. https://doi.org/10.1016/j.agrformet.2021.108521</w:t>
      </w:r>
    </w:p>
    <w:p w14:paraId="23458D47"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Zhu, X</w:t>
      </w:r>
      <w:r>
        <w:rPr>
          <w:noProof/>
          <w:sz w:val="24"/>
        </w:rPr>
        <w:t>.</w:t>
      </w:r>
      <w:r w:rsidRPr="009F4EE3">
        <w:rPr>
          <w:noProof/>
          <w:sz w:val="24"/>
        </w:rPr>
        <w:t xml:space="preserve">, &amp; Liu, D. (2015). Improving forest aboveground biomass estimation using seasonal Landsat NDVI time-series. </w:t>
      </w:r>
      <w:r w:rsidRPr="009F4EE3">
        <w:rPr>
          <w:i/>
          <w:iCs/>
          <w:noProof/>
          <w:sz w:val="24"/>
        </w:rPr>
        <w:t>ISPRS Journal of Photogrammetry and Remote Sensing</w:t>
      </w:r>
      <w:r w:rsidRPr="009F4EE3">
        <w:rPr>
          <w:noProof/>
          <w:sz w:val="24"/>
        </w:rPr>
        <w:t xml:space="preserve">, </w:t>
      </w:r>
      <w:r w:rsidRPr="009F4EE3">
        <w:rPr>
          <w:i/>
          <w:iCs/>
          <w:noProof/>
          <w:sz w:val="24"/>
        </w:rPr>
        <w:t>102</w:t>
      </w:r>
      <w:r w:rsidRPr="009F4EE3">
        <w:rPr>
          <w:noProof/>
          <w:sz w:val="24"/>
        </w:rPr>
        <w:t>, 222–231. https://doi.org/10.1016/j.isprsjprs.2014.08.014</w:t>
      </w:r>
    </w:p>
    <w:p w14:paraId="3E4999DC"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Zhu, X</w:t>
      </w:r>
      <w:r>
        <w:rPr>
          <w:noProof/>
          <w:sz w:val="24"/>
        </w:rPr>
        <w:t>.</w:t>
      </w:r>
      <w:r w:rsidRPr="009F4EE3">
        <w:rPr>
          <w:noProof/>
          <w:sz w:val="24"/>
        </w:rPr>
        <w:t xml:space="preserve">, Pei, Y., Zheng, Z., Dong, J., Zhang, Y., Wang, J., et al. (2018). Underestimates of grassland gross primary production in MODIS standard products. </w:t>
      </w:r>
      <w:r w:rsidRPr="009F4EE3">
        <w:rPr>
          <w:i/>
          <w:iCs/>
          <w:noProof/>
          <w:sz w:val="24"/>
        </w:rPr>
        <w:t>Remote Sensing</w:t>
      </w:r>
      <w:r w:rsidRPr="009F4EE3">
        <w:rPr>
          <w:noProof/>
          <w:sz w:val="24"/>
        </w:rPr>
        <w:t xml:space="preserve">, </w:t>
      </w:r>
      <w:r w:rsidRPr="009F4EE3">
        <w:rPr>
          <w:i/>
          <w:iCs/>
          <w:noProof/>
          <w:sz w:val="24"/>
        </w:rPr>
        <w:t>10</w:t>
      </w:r>
      <w:r w:rsidRPr="009F4EE3">
        <w:rPr>
          <w:noProof/>
          <w:sz w:val="24"/>
        </w:rPr>
        <w:t>(11), e1771. https://doi.org/10.3390/rs10111771</w:t>
      </w:r>
    </w:p>
    <w:p w14:paraId="28A06830" w14:textId="77777777" w:rsidR="005B7633" w:rsidRPr="009F4EE3" w:rsidRDefault="005B7633" w:rsidP="005B7633">
      <w:pPr>
        <w:widowControl w:val="0"/>
        <w:autoSpaceDE w:val="0"/>
        <w:autoSpaceDN w:val="0"/>
        <w:adjustRightInd w:val="0"/>
        <w:ind w:left="480" w:hanging="480"/>
        <w:rPr>
          <w:noProof/>
          <w:sz w:val="24"/>
        </w:rPr>
      </w:pPr>
      <w:r w:rsidRPr="009F4EE3">
        <w:rPr>
          <w:noProof/>
          <w:sz w:val="24"/>
        </w:rPr>
        <w:t xml:space="preserve">van Zyl, J. J. (2001). The shuttle radar topography mission (SRTM): A breakthrough in remote sensing of topography. </w:t>
      </w:r>
      <w:r w:rsidRPr="009F4EE3">
        <w:rPr>
          <w:i/>
          <w:iCs/>
          <w:noProof/>
          <w:sz w:val="24"/>
        </w:rPr>
        <w:t>Acta Astronautica</w:t>
      </w:r>
      <w:r w:rsidRPr="009F4EE3">
        <w:rPr>
          <w:noProof/>
          <w:sz w:val="24"/>
        </w:rPr>
        <w:t xml:space="preserve">, </w:t>
      </w:r>
      <w:r w:rsidRPr="009F4EE3">
        <w:rPr>
          <w:i/>
          <w:iCs/>
          <w:noProof/>
          <w:sz w:val="24"/>
        </w:rPr>
        <w:t>48</w:t>
      </w:r>
      <w:r w:rsidRPr="009F4EE3">
        <w:rPr>
          <w:noProof/>
          <w:sz w:val="24"/>
        </w:rPr>
        <w:t>(5–12), 559–565. https://doi.org/10.1016/S0094-5765(01)00020-0</w:t>
      </w:r>
    </w:p>
    <w:p w14:paraId="2CC9B60E" w14:textId="77777777" w:rsidR="005B7633" w:rsidRPr="00C1362F" w:rsidRDefault="005B7633" w:rsidP="005B7633">
      <w:pPr>
        <w:jc w:val="both"/>
        <w:rPr>
          <w:rFonts w:eastAsia="Arial"/>
          <w:sz w:val="24"/>
        </w:rPr>
      </w:pPr>
      <w:r w:rsidRPr="00C1362F">
        <w:rPr>
          <w:rFonts w:eastAsia="Arial"/>
          <w:sz w:val="24"/>
        </w:rPr>
        <w:fldChar w:fldCharType="end"/>
      </w:r>
    </w:p>
    <w:p w14:paraId="08C1EA35" w14:textId="515A0EE7" w:rsidR="008A6077" w:rsidRPr="007443BB" w:rsidRDefault="008A6077" w:rsidP="005B0B29">
      <w:pPr>
        <w:shd w:val="clear" w:color="auto" w:fill="FFFFFF"/>
        <w:spacing w:line="480" w:lineRule="auto"/>
      </w:pPr>
    </w:p>
    <w:p w14:paraId="2B7C9A8E" w14:textId="77777777" w:rsidR="00BF0028" w:rsidRDefault="00BF0028"/>
    <w:sectPr w:rsidR="00BF0028" w:rsidSect="001931EB">
      <w:headerReference w:type="default" r:id="rId18"/>
      <w:footerReference w:type="default" r:id="rId19"/>
      <w:headerReference w:type="first" r:id="rId20"/>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66E254" w14:textId="77777777" w:rsidR="001931EB" w:rsidRDefault="001931EB" w:rsidP="000379AB">
      <w:r>
        <w:separator/>
      </w:r>
    </w:p>
  </w:endnote>
  <w:endnote w:type="continuationSeparator" w:id="0">
    <w:p w14:paraId="4765AD8C" w14:textId="77777777" w:rsidR="001931EB" w:rsidRDefault="001931EB" w:rsidP="000379A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41147879"/>
      <w:docPartObj>
        <w:docPartGallery w:val="Page Numbers (Bottom of Page)"/>
        <w:docPartUnique/>
      </w:docPartObj>
    </w:sdtPr>
    <w:sdtEndPr>
      <w:rPr>
        <w:noProof/>
      </w:rPr>
    </w:sdtEndPr>
    <w:sdtContent>
      <w:p w14:paraId="78CE3367" w14:textId="77777777" w:rsidR="00F25462" w:rsidRDefault="00F2546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1996F426" w14:textId="77777777" w:rsidR="00F25462" w:rsidRDefault="00F2546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24839963"/>
      <w:docPartObj>
        <w:docPartGallery w:val="Page Numbers (Bottom of Page)"/>
        <w:docPartUnique/>
      </w:docPartObj>
    </w:sdtPr>
    <w:sdtEndPr>
      <w:rPr>
        <w:noProof/>
      </w:rPr>
    </w:sdtEndPr>
    <w:sdtContent>
      <w:p w14:paraId="56D62728" w14:textId="20514F90" w:rsidR="00F25462" w:rsidRDefault="00F25462">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594ED28E" w14:textId="2FE9AD18" w:rsidR="00DD6745" w:rsidRDefault="00DD6745" w:rsidP="00B719C8">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A8DB6A" w14:textId="77777777" w:rsidR="001931EB" w:rsidRDefault="001931EB" w:rsidP="000379AB">
      <w:r>
        <w:separator/>
      </w:r>
    </w:p>
  </w:footnote>
  <w:footnote w:type="continuationSeparator" w:id="0">
    <w:p w14:paraId="409C3635" w14:textId="77777777" w:rsidR="001931EB" w:rsidRDefault="001931EB" w:rsidP="000379A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265F13EB" w:rsidR="00DD6745" w:rsidRDefault="00DD6745" w:rsidP="007778ED">
    <w:pPr>
      <w:pStyle w:val="Header"/>
      <w:jc w:val="center"/>
    </w:pPr>
    <w:r>
      <w:t xml:space="preserve">manuscript submitted to </w:t>
    </w:r>
    <w:r w:rsidR="00EA3FC3">
      <w:rPr>
        <w:i/>
      </w:rPr>
      <w:t>Journal of Advances in Modeling Earth Systems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DD6745" w:rsidP="00E31404">
    <w:pPr>
      <w:pStyle w:val="Header"/>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04090001">
      <w:start w:val="1"/>
      <w:numFmt w:val="bullet"/>
      <w:lvlText w:val=""/>
      <w:lvlJc w:val="left"/>
      <w:pPr>
        <w:ind w:left="1080" w:hanging="360"/>
      </w:pPr>
      <w:rPr>
        <w:rFonts w:ascii="Symbol" w:hAnsi="Symbol"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15:restartNumberingAfterBreak="0">
    <w:nsid w:val="1163266E"/>
    <w:multiLevelType w:val="hybridMultilevel"/>
    <w:tmpl w:val="E7EA9D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5E64BC"/>
    <w:multiLevelType w:val="hybridMultilevel"/>
    <w:tmpl w:val="A4B06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BA65907"/>
    <w:multiLevelType w:val="hybridMultilevel"/>
    <w:tmpl w:val="F516EB9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A61D63"/>
    <w:multiLevelType w:val="hybridMultilevel"/>
    <w:tmpl w:val="36769D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F047978"/>
    <w:multiLevelType w:val="hybridMultilevel"/>
    <w:tmpl w:val="7E889D80"/>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3C9B5536"/>
    <w:multiLevelType w:val="hybridMultilevel"/>
    <w:tmpl w:val="CBCCF7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04E3973"/>
    <w:multiLevelType w:val="hybridMultilevel"/>
    <w:tmpl w:val="8C6689B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0FD43D8"/>
    <w:multiLevelType w:val="hybridMultilevel"/>
    <w:tmpl w:val="00E46F2E"/>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0" w15:restartNumberingAfterBreak="0">
    <w:nsid w:val="56205803"/>
    <w:multiLevelType w:val="multilevel"/>
    <w:tmpl w:val="1E2855A8"/>
    <w:lvl w:ilvl="0">
      <w:start w:val="1"/>
      <w:numFmt w:val="decimal"/>
      <w:pStyle w:val="Els-1storder-head"/>
      <w:suff w:val="space"/>
      <w:lvlText w:val="%1."/>
      <w:lvlJc w:val="left"/>
      <w:pPr>
        <w:ind w:left="900" w:firstLine="0"/>
      </w:pPr>
    </w:lvl>
    <w:lvl w:ilvl="1">
      <w:start w:val="1"/>
      <w:numFmt w:val="decimal"/>
      <w:pStyle w:val="Els-2ndorder-head"/>
      <w:suff w:val="space"/>
      <w:lvlText w:val="%1.%2."/>
      <w:lvlJc w:val="left"/>
      <w:pPr>
        <w:ind w:left="0"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11" w15:restartNumberingAfterBreak="0">
    <w:nsid w:val="5C811597"/>
    <w:multiLevelType w:val="hybridMultilevel"/>
    <w:tmpl w:val="4E48B8C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B5208B2"/>
    <w:multiLevelType w:val="hybridMultilevel"/>
    <w:tmpl w:val="EF94B784"/>
    <w:lvl w:ilvl="0" w:tplc="9B9AD5D6">
      <w:start w:val="1"/>
      <w:numFmt w:val="upperLetter"/>
      <w:lvlText w:val="%1t"/>
      <w:lvlJc w:val="left"/>
      <w:pPr>
        <w:ind w:left="440" w:hanging="360"/>
      </w:pPr>
      <w:rPr>
        <w:rFonts w:hint="default"/>
      </w:rPr>
    </w:lvl>
    <w:lvl w:ilvl="1" w:tplc="04090019" w:tentative="1">
      <w:start w:val="1"/>
      <w:numFmt w:val="lowerLetter"/>
      <w:lvlText w:val="%2."/>
      <w:lvlJc w:val="left"/>
      <w:pPr>
        <w:ind w:left="1160" w:hanging="360"/>
      </w:pPr>
    </w:lvl>
    <w:lvl w:ilvl="2" w:tplc="0409001B" w:tentative="1">
      <w:start w:val="1"/>
      <w:numFmt w:val="lowerRoman"/>
      <w:lvlText w:val="%3."/>
      <w:lvlJc w:val="right"/>
      <w:pPr>
        <w:ind w:left="1880" w:hanging="180"/>
      </w:pPr>
    </w:lvl>
    <w:lvl w:ilvl="3" w:tplc="0409000F" w:tentative="1">
      <w:start w:val="1"/>
      <w:numFmt w:val="decimal"/>
      <w:lvlText w:val="%4."/>
      <w:lvlJc w:val="left"/>
      <w:pPr>
        <w:ind w:left="2600" w:hanging="360"/>
      </w:pPr>
    </w:lvl>
    <w:lvl w:ilvl="4" w:tplc="04090019" w:tentative="1">
      <w:start w:val="1"/>
      <w:numFmt w:val="lowerLetter"/>
      <w:lvlText w:val="%5."/>
      <w:lvlJc w:val="left"/>
      <w:pPr>
        <w:ind w:left="3320" w:hanging="360"/>
      </w:pPr>
    </w:lvl>
    <w:lvl w:ilvl="5" w:tplc="0409001B" w:tentative="1">
      <w:start w:val="1"/>
      <w:numFmt w:val="lowerRoman"/>
      <w:lvlText w:val="%6."/>
      <w:lvlJc w:val="right"/>
      <w:pPr>
        <w:ind w:left="4040" w:hanging="180"/>
      </w:pPr>
    </w:lvl>
    <w:lvl w:ilvl="6" w:tplc="0409000F" w:tentative="1">
      <w:start w:val="1"/>
      <w:numFmt w:val="decimal"/>
      <w:lvlText w:val="%7."/>
      <w:lvlJc w:val="left"/>
      <w:pPr>
        <w:ind w:left="4760" w:hanging="360"/>
      </w:pPr>
    </w:lvl>
    <w:lvl w:ilvl="7" w:tplc="04090019" w:tentative="1">
      <w:start w:val="1"/>
      <w:numFmt w:val="lowerLetter"/>
      <w:lvlText w:val="%8."/>
      <w:lvlJc w:val="left"/>
      <w:pPr>
        <w:ind w:left="5480" w:hanging="360"/>
      </w:pPr>
    </w:lvl>
    <w:lvl w:ilvl="8" w:tplc="0409001B" w:tentative="1">
      <w:start w:val="1"/>
      <w:numFmt w:val="lowerRoman"/>
      <w:lvlText w:val="%9."/>
      <w:lvlJc w:val="right"/>
      <w:pPr>
        <w:ind w:left="6200" w:hanging="180"/>
      </w:pPr>
    </w:lvl>
  </w:abstractNum>
  <w:abstractNum w:abstractNumId="15" w15:restartNumberingAfterBreak="0">
    <w:nsid w:val="7ADC0C45"/>
    <w:multiLevelType w:val="hybridMultilevel"/>
    <w:tmpl w:val="FF08A32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B47206B"/>
    <w:multiLevelType w:val="hybridMultilevel"/>
    <w:tmpl w:val="058C0FC8"/>
    <w:lvl w:ilvl="0" w:tplc="EB9E9560">
      <w:numFmt w:val="bullet"/>
      <w:lvlText w:val="·"/>
      <w:lvlJc w:val="left"/>
      <w:pPr>
        <w:ind w:left="1080" w:hanging="360"/>
      </w:pPr>
      <w:rPr>
        <w:rFonts w:ascii="Times New Roman" w:eastAsia="Times New Roman" w:hAnsi="Times New Roman" w:cs="Times New Roman" w:hint="default"/>
        <w:color w:val="262626"/>
        <w:sz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846598895">
    <w:abstractNumId w:val="3"/>
  </w:num>
  <w:num w:numId="2" w16cid:durableId="906064874">
    <w:abstractNumId w:val="2"/>
  </w:num>
  <w:num w:numId="3" w16cid:durableId="124200908">
    <w:abstractNumId w:val="14"/>
  </w:num>
  <w:num w:numId="4" w16cid:durableId="983047291">
    <w:abstractNumId w:val="7"/>
  </w:num>
  <w:num w:numId="5" w16cid:durableId="1416437152">
    <w:abstractNumId w:val="8"/>
  </w:num>
  <w:num w:numId="6" w16cid:durableId="25494253">
    <w:abstractNumId w:val="11"/>
  </w:num>
  <w:num w:numId="7" w16cid:durableId="119541995">
    <w:abstractNumId w:val="12"/>
  </w:num>
  <w:num w:numId="8" w16cid:durableId="1958756824">
    <w:abstractNumId w:val="13"/>
  </w:num>
  <w:num w:numId="9" w16cid:durableId="928124450">
    <w:abstractNumId w:val="5"/>
  </w:num>
  <w:num w:numId="10" w16cid:durableId="1962152298">
    <w:abstractNumId w:val="9"/>
  </w:num>
  <w:num w:numId="11" w16cid:durableId="17976862">
    <w:abstractNumId w:val="6"/>
  </w:num>
  <w:num w:numId="12" w16cid:durableId="1237283164">
    <w:abstractNumId w:val="16"/>
  </w:num>
  <w:num w:numId="13" w16cid:durableId="439767255">
    <w:abstractNumId w:val="0"/>
  </w:num>
  <w:num w:numId="14" w16cid:durableId="51273808">
    <w:abstractNumId w:val="10"/>
  </w:num>
  <w:num w:numId="15" w16cid:durableId="1137798467">
    <w:abstractNumId w:val="4"/>
  </w:num>
  <w:num w:numId="16" w16cid:durableId="1197620250">
    <w:abstractNumId w:val="15"/>
  </w:num>
  <w:num w:numId="17" w16cid:durableId="68263411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EwsTQ3MzCyMDUxMjNT0lEKTi0uzszPAykwrQUAEUH0ZywAAAA="/>
  </w:docVars>
  <w:rsids>
    <w:rsidRoot w:val="008A6077"/>
    <w:rsid w:val="000062C4"/>
    <w:rsid w:val="00031829"/>
    <w:rsid w:val="000379AB"/>
    <w:rsid w:val="0007414F"/>
    <w:rsid w:val="00090F32"/>
    <w:rsid w:val="000D71E4"/>
    <w:rsid w:val="00135893"/>
    <w:rsid w:val="0014681F"/>
    <w:rsid w:val="00166059"/>
    <w:rsid w:val="001931EB"/>
    <w:rsid w:val="001C2B0D"/>
    <w:rsid w:val="001E33EF"/>
    <w:rsid w:val="00205265"/>
    <w:rsid w:val="002112B8"/>
    <w:rsid w:val="00240493"/>
    <w:rsid w:val="002B6F74"/>
    <w:rsid w:val="002C3263"/>
    <w:rsid w:val="002E7898"/>
    <w:rsid w:val="002F2289"/>
    <w:rsid w:val="002F3B11"/>
    <w:rsid w:val="003137C3"/>
    <w:rsid w:val="00321596"/>
    <w:rsid w:val="00351D35"/>
    <w:rsid w:val="00356C61"/>
    <w:rsid w:val="00366917"/>
    <w:rsid w:val="0037466A"/>
    <w:rsid w:val="003E660A"/>
    <w:rsid w:val="003F0387"/>
    <w:rsid w:val="003F199B"/>
    <w:rsid w:val="00400029"/>
    <w:rsid w:val="00400425"/>
    <w:rsid w:val="004009A6"/>
    <w:rsid w:val="00440A22"/>
    <w:rsid w:val="0046739F"/>
    <w:rsid w:val="00485D46"/>
    <w:rsid w:val="00514B45"/>
    <w:rsid w:val="005167EA"/>
    <w:rsid w:val="005358D5"/>
    <w:rsid w:val="00545B6C"/>
    <w:rsid w:val="00562C9F"/>
    <w:rsid w:val="00562D64"/>
    <w:rsid w:val="0057441D"/>
    <w:rsid w:val="00575C0B"/>
    <w:rsid w:val="005932B1"/>
    <w:rsid w:val="005B0B29"/>
    <w:rsid w:val="005B7633"/>
    <w:rsid w:val="005C7DEB"/>
    <w:rsid w:val="005E1969"/>
    <w:rsid w:val="00636742"/>
    <w:rsid w:val="00660BA2"/>
    <w:rsid w:val="006842EE"/>
    <w:rsid w:val="00685175"/>
    <w:rsid w:val="006C4619"/>
    <w:rsid w:val="006D19B4"/>
    <w:rsid w:val="006F0D4D"/>
    <w:rsid w:val="006F662E"/>
    <w:rsid w:val="00751473"/>
    <w:rsid w:val="00776BA9"/>
    <w:rsid w:val="007778ED"/>
    <w:rsid w:val="00796FB8"/>
    <w:rsid w:val="007B4B93"/>
    <w:rsid w:val="00813315"/>
    <w:rsid w:val="00834E28"/>
    <w:rsid w:val="00855B07"/>
    <w:rsid w:val="008977EB"/>
    <w:rsid w:val="008A5615"/>
    <w:rsid w:val="008A6077"/>
    <w:rsid w:val="008D3087"/>
    <w:rsid w:val="008E58E5"/>
    <w:rsid w:val="0097213C"/>
    <w:rsid w:val="00975D9D"/>
    <w:rsid w:val="009773DF"/>
    <w:rsid w:val="00995CAA"/>
    <w:rsid w:val="009B68DA"/>
    <w:rsid w:val="009C63D9"/>
    <w:rsid w:val="009E1C97"/>
    <w:rsid w:val="009F25F6"/>
    <w:rsid w:val="00A1073D"/>
    <w:rsid w:val="00A44E37"/>
    <w:rsid w:val="00A63694"/>
    <w:rsid w:val="00AA11F3"/>
    <w:rsid w:val="00AA3564"/>
    <w:rsid w:val="00AB46CF"/>
    <w:rsid w:val="00AD03B0"/>
    <w:rsid w:val="00AF33DA"/>
    <w:rsid w:val="00B120F3"/>
    <w:rsid w:val="00B26517"/>
    <w:rsid w:val="00B34262"/>
    <w:rsid w:val="00B719C8"/>
    <w:rsid w:val="00B81C79"/>
    <w:rsid w:val="00B82556"/>
    <w:rsid w:val="00B828C4"/>
    <w:rsid w:val="00BD47BB"/>
    <w:rsid w:val="00BF0028"/>
    <w:rsid w:val="00C3475A"/>
    <w:rsid w:val="00C81368"/>
    <w:rsid w:val="00C81692"/>
    <w:rsid w:val="00C94AA5"/>
    <w:rsid w:val="00CB7BED"/>
    <w:rsid w:val="00CC4CBE"/>
    <w:rsid w:val="00CF3DEE"/>
    <w:rsid w:val="00D50A01"/>
    <w:rsid w:val="00D801C4"/>
    <w:rsid w:val="00D810E5"/>
    <w:rsid w:val="00D94839"/>
    <w:rsid w:val="00D9528F"/>
    <w:rsid w:val="00DA32CC"/>
    <w:rsid w:val="00DC7A65"/>
    <w:rsid w:val="00DD6745"/>
    <w:rsid w:val="00DE3F91"/>
    <w:rsid w:val="00E12855"/>
    <w:rsid w:val="00E31404"/>
    <w:rsid w:val="00E31513"/>
    <w:rsid w:val="00E664DF"/>
    <w:rsid w:val="00E67B96"/>
    <w:rsid w:val="00E77D36"/>
    <w:rsid w:val="00EA3FC3"/>
    <w:rsid w:val="00EE433D"/>
    <w:rsid w:val="00EF04CF"/>
    <w:rsid w:val="00F13598"/>
    <w:rsid w:val="00F21080"/>
    <w:rsid w:val="00F250BE"/>
    <w:rsid w:val="00F25462"/>
    <w:rsid w:val="00F45E57"/>
    <w:rsid w:val="00F71CD1"/>
    <w:rsid w:val="00F72965"/>
    <w:rsid w:val="00F97AF7"/>
    <w:rsid w:val="00FA6A63"/>
    <w:rsid w:val="00FC3EAC"/>
    <w:rsid w:val="00FC49C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609C9FC"/>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A6077"/>
    <w:rPr>
      <w:rFonts w:ascii="Times New Roman" w:eastAsia="Calibri" w:hAnsi="Times New Roman" w:cs="Times New Roman"/>
      <w:sz w:val="20"/>
      <w:szCs w:val="20"/>
    </w:rPr>
  </w:style>
  <w:style w:type="paragraph" w:styleId="Heading1">
    <w:name w:val="heading 1"/>
    <w:basedOn w:val="Normal"/>
    <w:next w:val="Normal"/>
    <w:link w:val="Heading1Char"/>
    <w:uiPriority w:val="9"/>
    <w:qFormat/>
    <w:rsid w:val="00F25462"/>
    <w:pPr>
      <w:pBdr>
        <w:top w:val="nil"/>
        <w:left w:val="nil"/>
        <w:bottom w:val="nil"/>
        <w:right w:val="nil"/>
        <w:between w:val="nil"/>
      </w:pBdr>
      <w:spacing w:after="160" w:line="480" w:lineRule="auto"/>
      <w:contextualSpacing/>
      <w:jc w:val="both"/>
      <w:outlineLvl w:val="0"/>
    </w:pPr>
    <w:rPr>
      <w:rFonts w:eastAsiaTheme="minorEastAsia"/>
      <w:b/>
      <w:color w:val="000000"/>
      <w:sz w:val="28"/>
      <w:szCs w:val="28"/>
      <w:lang w:eastAsia="zh-CN"/>
    </w:rPr>
  </w:style>
  <w:style w:type="paragraph" w:styleId="Heading2">
    <w:name w:val="heading 2"/>
    <w:basedOn w:val="Normal"/>
    <w:next w:val="Normal"/>
    <w:link w:val="Heading2Char"/>
    <w:uiPriority w:val="9"/>
    <w:unhideWhenUsed/>
    <w:qFormat/>
    <w:rsid w:val="00F25462"/>
    <w:pPr>
      <w:spacing w:after="160" w:line="480" w:lineRule="auto"/>
      <w:jc w:val="both"/>
      <w:outlineLvl w:val="1"/>
    </w:pPr>
    <w:rPr>
      <w:rFonts w:ascii="Times" w:eastAsia="Arial" w:hAnsi="Times" w:cs="Arial"/>
      <w:b/>
      <w:bCs/>
      <w:sz w:val="24"/>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Normal"/>
    <w:rsid w:val="008A6077"/>
    <w:pPr>
      <w:spacing w:before="120"/>
      <w:ind w:left="720" w:hanging="720"/>
    </w:pPr>
    <w:rPr>
      <w:rFonts w:eastAsia="Times New Roman"/>
      <w:sz w:val="24"/>
      <w:szCs w:val="24"/>
    </w:rPr>
  </w:style>
  <w:style w:type="paragraph" w:styleId="Header">
    <w:name w:val="header"/>
    <w:basedOn w:val="Normal"/>
    <w:link w:val="HeaderChar"/>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Normal"/>
    <w:rsid w:val="00B120F3"/>
    <w:pPr>
      <w:spacing w:before="120" w:after="360"/>
    </w:pPr>
    <w:rPr>
      <w:rFonts w:eastAsia="Times New Roman"/>
      <w:b/>
      <w:sz w:val="24"/>
      <w:szCs w:val="24"/>
    </w:rPr>
  </w:style>
  <w:style w:type="paragraph" w:customStyle="1" w:styleId="Text">
    <w:name w:val="Text"/>
    <w:basedOn w:val="Normal"/>
    <w:rsid w:val="008A6077"/>
    <w:pPr>
      <w:spacing w:before="120"/>
      <w:ind w:firstLine="720"/>
    </w:pPr>
    <w:rPr>
      <w:rFonts w:eastAsia="Times New Roman"/>
      <w:sz w:val="24"/>
      <w:szCs w:val="24"/>
    </w:rPr>
  </w:style>
  <w:style w:type="paragraph" w:customStyle="1" w:styleId="FigureorTableCaption">
    <w:name w:val="Figure or Table Caption"/>
    <w:basedOn w:val="Normal"/>
    <w:rsid w:val="008A6077"/>
    <w:pPr>
      <w:keepNext/>
      <w:spacing w:before="240"/>
      <w:outlineLvl w:val="0"/>
    </w:pPr>
    <w:rPr>
      <w:rFonts w:eastAsia="Times New Roman"/>
      <w:kern w:val="28"/>
      <w:sz w:val="24"/>
      <w:szCs w:val="24"/>
    </w:rPr>
  </w:style>
  <w:style w:type="character" w:customStyle="1" w:styleId="HeaderChar">
    <w:name w:val="Header Char"/>
    <w:basedOn w:val="DefaultParagraphFont"/>
    <w:link w:val="Header"/>
    <w:uiPriority w:val="99"/>
    <w:rsid w:val="000379AB"/>
    <w:rPr>
      <w:rFonts w:ascii="Times New Roman" w:eastAsia="Calibri" w:hAnsi="Times New Roman" w:cs="Times New Roman"/>
      <w:sz w:val="20"/>
      <w:szCs w:val="20"/>
    </w:rPr>
  </w:style>
  <w:style w:type="character" w:styleId="Hyperlink">
    <w:name w:val="Hyperlink"/>
    <w:uiPriority w:val="99"/>
    <w:rsid w:val="008A6077"/>
    <w:rPr>
      <w:color w:val="0000FF"/>
      <w:u w:val="single"/>
    </w:rPr>
  </w:style>
  <w:style w:type="paragraph" w:customStyle="1" w:styleId="Heading-Main">
    <w:name w:val="Heading-Main"/>
    <w:basedOn w:val="Normal"/>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Normal"/>
    <w:rsid w:val="008A6077"/>
    <w:pPr>
      <w:spacing w:before="120"/>
    </w:pPr>
    <w:rPr>
      <w:rFonts w:eastAsia="Times New Roman"/>
      <w:sz w:val="24"/>
      <w:szCs w:val="24"/>
    </w:rPr>
  </w:style>
  <w:style w:type="paragraph" w:customStyle="1" w:styleId="Abstract">
    <w:name w:val="Abstract"/>
    <w:basedOn w:val="Normal"/>
    <w:qFormat/>
    <w:rsid w:val="00400425"/>
    <w:pPr>
      <w:spacing w:before="120"/>
    </w:pPr>
    <w:rPr>
      <w:rFonts w:eastAsia="Times New Roman"/>
      <w:sz w:val="24"/>
      <w:szCs w:val="24"/>
    </w:rPr>
  </w:style>
  <w:style w:type="character" w:customStyle="1" w:styleId="TitleChar">
    <w:name w:val="Title Char"/>
    <w:basedOn w:val="DefaultParagraphFont"/>
    <w:link w:val="Title"/>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Normal"/>
    <w:qFormat/>
    <w:rsid w:val="0037466A"/>
    <w:pPr>
      <w:spacing w:before="240" w:after="240"/>
    </w:pPr>
    <w:rPr>
      <w:color w:val="00B0F0"/>
    </w:rPr>
  </w:style>
  <w:style w:type="paragraph" w:styleId="NormalWeb">
    <w:name w:val="Normal (Web)"/>
    <w:basedOn w:val="Normal"/>
    <w:uiPriority w:val="99"/>
    <w:semiHidden/>
    <w:unhideWhenUsed/>
    <w:rsid w:val="002F3B11"/>
    <w:rPr>
      <w:sz w:val="24"/>
      <w:szCs w:val="24"/>
    </w:rPr>
  </w:style>
  <w:style w:type="paragraph" w:styleId="Footer">
    <w:name w:val="footer"/>
    <w:basedOn w:val="Normal"/>
    <w:link w:val="FooterChar"/>
    <w:uiPriority w:val="99"/>
    <w:unhideWhenUsed/>
    <w:rsid w:val="000379AB"/>
    <w:pPr>
      <w:tabs>
        <w:tab w:val="center" w:pos="4680"/>
        <w:tab w:val="right" w:pos="9360"/>
      </w:tabs>
    </w:pPr>
  </w:style>
  <w:style w:type="character" w:customStyle="1" w:styleId="FooterChar">
    <w:name w:val="Footer Char"/>
    <w:basedOn w:val="DefaultParagraphFont"/>
    <w:link w:val="Footer"/>
    <w:uiPriority w:val="99"/>
    <w:rsid w:val="000379AB"/>
    <w:rPr>
      <w:rFonts w:ascii="Times New Roman" w:eastAsia="Calibri" w:hAnsi="Times New Roman" w:cs="Times New Roman"/>
      <w:sz w:val="20"/>
      <w:szCs w:val="20"/>
    </w:rPr>
  </w:style>
  <w:style w:type="paragraph" w:styleId="ListParagraph">
    <w:name w:val="List Paragraph"/>
    <w:basedOn w:val="Normal"/>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UnresolvedMention">
    <w:name w:val="Unresolved Mention"/>
    <w:basedOn w:val="DefaultParagraphFont"/>
    <w:uiPriority w:val="99"/>
    <w:rsid w:val="00B81C79"/>
    <w:rPr>
      <w:color w:val="808080"/>
      <w:shd w:val="clear" w:color="auto" w:fill="E6E6E6"/>
    </w:rPr>
  </w:style>
  <w:style w:type="paragraph" w:styleId="BalloonText">
    <w:name w:val="Balloon Text"/>
    <w:basedOn w:val="Normal"/>
    <w:link w:val="BalloonTextChar"/>
    <w:uiPriority w:val="99"/>
    <w:semiHidden/>
    <w:unhideWhenUsed/>
    <w:rsid w:val="007B4B9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B4B93"/>
    <w:rPr>
      <w:rFonts w:ascii="Segoe UI" w:eastAsia="Calibri" w:hAnsi="Segoe UI" w:cs="Segoe UI"/>
      <w:sz w:val="18"/>
      <w:szCs w:val="18"/>
    </w:rPr>
  </w:style>
  <w:style w:type="character" w:styleId="Emphasis">
    <w:name w:val="Emphasis"/>
    <w:basedOn w:val="DefaultParagraphFont"/>
    <w:uiPriority w:val="20"/>
    <w:qFormat/>
    <w:rsid w:val="007B4B93"/>
    <w:rPr>
      <w:i/>
      <w:iCs/>
    </w:rPr>
  </w:style>
  <w:style w:type="character" w:styleId="FollowedHyperlink">
    <w:name w:val="FollowedHyperlink"/>
    <w:basedOn w:val="DefaultParagraphFont"/>
    <w:uiPriority w:val="99"/>
    <w:semiHidden/>
    <w:unhideWhenUsed/>
    <w:rsid w:val="00F45E57"/>
    <w:rPr>
      <w:color w:val="954F72" w:themeColor="followedHyperlink"/>
      <w:u w:val="single"/>
    </w:rPr>
  </w:style>
  <w:style w:type="character" w:styleId="LineNumber">
    <w:name w:val="line number"/>
    <w:basedOn w:val="DefaultParagraphFont"/>
    <w:uiPriority w:val="99"/>
    <w:semiHidden/>
    <w:unhideWhenUsed/>
    <w:rsid w:val="00BD47BB"/>
  </w:style>
  <w:style w:type="paragraph" w:customStyle="1" w:styleId="Normal1">
    <w:name w:val="Normal1"/>
    <w:rsid w:val="00356C61"/>
    <w:pPr>
      <w:spacing w:line="276" w:lineRule="auto"/>
      <w:contextualSpacing/>
    </w:pPr>
    <w:rPr>
      <w:rFonts w:ascii="Arial" w:eastAsia="Arial" w:hAnsi="Arial" w:cs="Arial"/>
      <w:sz w:val="22"/>
      <w:szCs w:val="22"/>
    </w:rPr>
  </w:style>
  <w:style w:type="character" w:customStyle="1" w:styleId="Heading1Char">
    <w:name w:val="Heading 1 Char"/>
    <w:basedOn w:val="DefaultParagraphFont"/>
    <w:link w:val="Heading1"/>
    <w:uiPriority w:val="9"/>
    <w:rsid w:val="00F25462"/>
    <w:rPr>
      <w:rFonts w:ascii="Times New Roman" w:eastAsiaTheme="minorEastAsia" w:hAnsi="Times New Roman" w:cs="Times New Roman"/>
      <w:b/>
      <w:color w:val="000000"/>
      <w:sz w:val="28"/>
      <w:szCs w:val="28"/>
      <w:lang w:eastAsia="zh-CN"/>
    </w:rPr>
  </w:style>
  <w:style w:type="character" w:customStyle="1" w:styleId="Heading2Char">
    <w:name w:val="Heading 2 Char"/>
    <w:basedOn w:val="DefaultParagraphFont"/>
    <w:link w:val="Heading2"/>
    <w:uiPriority w:val="9"/>
    <w:rsid w:val="00F25462"/>
    <w:rPr>
      <w:rFonts w:ascii="Times" w:eastAsia="Arial" w:hAnsi="Times" w:cs="Arial"/>
      <w:b/>
      <w:bCs/>
      <w:szCs w:val="22"/>
    </w:rPr>
  </w:style>
  <w:style w:type="paragraph" w:customStyle="1" w:styleId="Els-1storder-head">
    <w:name w:val="Els-1storder-head"/>
    <w:next w:val="Normal"/>
    <w:rsid w:val="00F25462"/>
    <w:pPr>
      <w:keepNext/>
      <w:numPr>
        <w:numId w:val="14"/>
      </w:numPr>
      <w:suppressAutoHyphens/>
      <w:spacing w:before="240" w:after="240" w:line="240" w:lineRule="exact"/>
      <w:ind w:left="0"/>
    </w:pPr>
    <w:rPr>
      <w:rFonts w:ascii="Times New Roman" w:eastAsia="SimSun" w:hAnsi="Times New Roman" w:cs="Times New Roman"/>
      <w:b/>
      <w:sz w:val="20"/>
      <w:szCs w:val="20"/>
    </w:rPr>
  </w:style>
  <w:style w:type="paragraph" w:customStyle="1" w:styleId="Els-2ndorder-head">
    <w:name w:val="Els-2ndorder-head"/>
    <w:next w:val="Normal"/>
    <w:rsid w:val="00F25462"/>
    <w:pPr>
      <w:keepNext/>
      <w:numPr>
        <w:ilvl w:val="1"/>
        <w:numId w:val="14"/>
      </w:numPr>
      <w:suppressAutoHyphens/>
      <w:spacing w:before="240" w:after="240" w:line="240" w:lineRule="exact"/>
    </w:pPr>
    <w:rPr>
      <w:rFonts w:ascii="Times New Roman" w:eastAsia="SimSun" w:hAnsi="Times New Roman" w:cs="Times New Roman"/>
      <w:i/>
      <w:sz w:val="20"/>
      <w:szCs w:val="20"/>
    </w:rPr>
  </w:style>
  <w:style w:type="paragraph" w:customStyle="1" w:styleId="Els-3rdorder-head">
    <w:name w:val="Els-3rdorder-head"/>
    <w:next w:val="Normal"/>
    <w:rsid w:val="00F25462"/>
    <w:pPr>
      <w:keepNext/>
      <w:numPr>
        <w:ilvl w:val="2"/>
        <w:numId w:val="14"/>
      </w:numPr>
      <w:suppressAutoHyphens/>
      <w:spacing w:before="240" w:line="240" w:lineRule="exact"/>
    </w:pPr>
    <w:rPr>
      <w:rFonts w:ascii="Times New Roman" w:eastAsia="SimSun" w:hAnsi="Times New Roman" w:cs="Times New Roman"/>
      <w:i/>
      <w:sz w:val="20"/>
      <w:szCs w:val="20"/>
    </w:rPr>
  </w:style>
  <w:style w:type="paragraph" w:customStyle="1" w:styleId="Els-4thorder-head">
    <w:name w:val="Els-4thorder-head"/>
    <w:next w:val="Normal"/>
    <w:rsid w:val="00F25462"/>
    <w:pPr>
      <w:keepNext/>
      <w:numPr>
        <w:ilvl w:val="3"/>
        <w:numId w:val="14"/>
      </w:numPr>
      <w:suppressAutoHyphens/>
      <w:spacing w:before="240" w:line="240" w:lineRule="exact"/>
    </w:pPr>
    <w:rPr>
      <w:rFonts w:ascii="Times New Roman" w:eastAsia="SimSun" w:hAnsi="Times New Roman" w:cs="Times New Roman"/>
      <w:i/>
      <w:sz w:val="20"/>
      <w:szCs w:val="20"/>
    </w:rPr>
  </w:style>
  <w:style w:type="character" w:styleId="PlaceholderText">
    <w:name w:val="Placeholder Text"/>
    <w:basedOn w:val="DefaultParagraphFont"/>
    <w:uiPriority w:val="99"/>
    <w:semiHidden/>
    <w:rsid w:val="00F25462"/>
    <w:rPr>
      <w:color w:val="666666"/>
    </w:rPr>
  </w:style>
  <w:style w:type="table" w:styleId="TableGrid">
    <w:name w:val="Table Grid"/>
    <w:basedOn w:val="TableNormal"/>
    <w:uiPriority w:val="39"/>
    <w:rsid w:val="00F25462"/>
    <w:rPr>
      <w:rFonts w:eastAsiaTheme="minorEastAsia"/>
      <w:kern w:val="2"/>
      <w:sz w:val="22"/>
      <w:szCs w:val="22"/>
      <w:lang w:eastAsia="zh-CN"/>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25462"/>
    <w:rPr>
      <w:sz w:val="16"/>
      <w:szCs w:val="16"/>
    </w:rPr>
  </w:style>
  <w:style w:type="paragraph" w:styleId="CommentText">
    <w:name w:val="annotation text"/>
    <w:basedOn w:val="Normal"/>
    <w:link w:val="CommentTextChar"/>
    <w:uiPriority w:val="99"/>
    <w:unhideWhenUsed/>
    <w:rsid w:val="00F25462"/>
    <w:pPr>
      <w:spacing w:after="160"/>
    </w:pPr>
    <w:rPr>
      <w:rFonts w:asciiTheme="minorHAnsi" w:eastAsiaTheme="minorEastAsia" w:hAnsiTheme="minorHAnsi" w:cstheme="minorBidi"/>
      <w:lang w:eastAsia="zh-CN"/>
    </w:rPr>
  </w:style>
  <w:style w:type="character" w:customStyle="1" w:styleId="CommentTextChar">
    <w:name w:val="Comment Text Char"/>
    <w:basedOn w:val="DefaultParagraphFont"/>
    <w:link w:val="CommentText"/>
    <w:uiPriority w:val="99"/>
    <w:rsid w:val="00F25462"/>
    <w:rPr>
      <w:rFonts w:eastAsiaTheme="minorEastAsia"/>
      <w:sz w:val="20"/>
      <w:szCs w:val="20"/>
      <w:lang w:eastAsia="zh-CN"/>
    </w:rPr>
  </w:style>
  <w:style w:type="paragraph" w:styleId="CommentSubject">
    <w:name w:val="annotation subject"/>
    <w:basedOn w:val="CommentText"/>
    <w:next w:val="CommentText"/>
    <w:link w:val="CommentSubjectChar"/>
    <w:uiPriority w:val="99"/>
    <w:semiHidden/>
    <w:unhideWhenUsed/>
    <w:rsid w:val="00F25462"/>
    <w:rPr>
      <w:b/>
      <w:bCs/>
    </w:rPr>
  </w:style>
  <w:style w:type="character" w:customStyle="1" w:styleId="CommentSubjectChar">
    <w:name w:val="Comment Subject Char"/>
    <w:basedOn w:val="CommentTextChar"/>
    <w:link w:val="CommentSubject"/>
    <w:uiPriority w:val="99"/>
    <w:semiHidden/>
    <w:rsid w:val="00F25462"/>
    <w:rPr>
      <w:rFonts w:eastAsiaTheme="minorEastAsia"/>
      <w:b/>
      <w:bCs/>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0844717">
      <w:bodyDiv w:val="1"/>
      <w:marLeft w:val="0"/>
      <w:marRight w:val="0"/>
      <w:marTop w:val="0"/>
      <w:marBottom w:val="0"/>
      <w:divBdr>
        <w:top w:val="none" w:sz="0" w:space="0" w:color="auto"/>
        <w:left w:val="none" w:sz="0" w:space="0" w:color="auto"/>
        <w:bottom w:val="none" w:sz="0" w:space="0" w:color="auto"/>
        <w:right w:val="none" w:sz="0" w:space="0" w:color="auto"/>
      </w:divBdr>
    </w:div>
    <w:div w:id="241108731">
      <w:bodyDiv w:val="1"/>
      <w:marLeft w:val="0"/>
      <w:marRight w:val="0"/>
      <w:marTop w:val="0"/>
      <w:marBottom w:val="0"/>
      <w:divBdr>
        <w:top w:val="none" w:sz="0" w:space="0" w:color="auto"/>
        <w:left w:val="none" w:sz="0" w:space="0" w:color="auto"/>
        <w:bottom w:val="none" w:sz="0" w:space="0" w:color="auto"/>
        <w:right w:val="none" w:sz="0" w:space="0" w:color="auto"/>
      </w:divBdr>
    </w:div>
    <w:div w:id="345134175">
      <w:bodyDiv w:val="1"/>
      <w:marLeft w:val="0"/>
      <w:marRight w:val="0"/>
      <w:marTop w:val="0"/>
      <w:marBottom w:val="0"/>
      <w:divBdr>
        <w:top w:val="none" w:sz="0" w:space="0" w:color="auto"/>
        <w:left w:val="none" w:sz="0" w:space="0" w:color="auto"/>
        <w:bottom w:val="none" w:sz="0" w:space="0" w:color="auto"/>
        <w:right w:val="none" w:sz="0" w:space="0" w:color="auto"/>
      </w:divBdr>
    </w:div>
    <w:div w:id="704406528">
      <w:bodyDiv w:val="1"/>
      <w:marLeft w:val="0"/>
      <w:marRight w:val="0"/>
      <w:marTop w:val="0"/>
      <w:marBottom w:val="0"/>
      <w:divBdr>
        <w:top w:val="none" w:sz="0" w:space="0" w:color="auto"/>
        <w:left w:val="none" w:sz="0" w:space="0" w:color="auto"/>
        <w:bottom w:val="none" w:sz="0" w:space="0" w:color="auto"/>
        <w:right w:val="none" w:sz="0" w:space="0" w:color="auto"/>
      </w:divBdr>
    </w:div>
    <w:div w:id="812676312">
      <w:bodyDiv w:val="1"/>
      <w:marLeft w:val="0"/>
      <w:marRight w:val="0"/>
      <w:marTop w:val="0"/>
      <w:marBottom w:val="0"/>
      <w:divBdr>
        <w:top w:val="none" w:sz="0" w:space="0" w:color="auto"/>
        <w:left w:val="none" w:sz="0" w:space="0" w:color="auto"/>
        <w:bottom w:val="none" w:sz="0" w:space="0" w:color="auto"/>
        <w:right w:val="none" w:sz="0" w:space="0" w:color="auto"/>
      </w:divBdr>
    </w:div>
    <w:div w:id="877201397">
      <w:bodyDiv w:val="1"/>
      <w:marLeft w:val="0"/>
      <w:marRight w:val="0"/>
      <w:marTop w:val="0"/>
      <w:marBottom w:val="0"/>
      <w:divBdr>
        <w:top w:val="none" w:sz="0" w:space="0" w:color="auto"/>
        <w:left w:val="none" w:sz="0" w:space="0" w:color="auto"/>
        <w:bottom w:val="none" w:sz="0" w:space="0" w:color="auto"/>
        <w:right w:val="none" w:sz="0" w:space="0" w:color="auto"/>
      </w:divBdr>
    </w:div>
    <w:div w:id="993794968">
      <w:bodyDiv w:val="1"/>
      <w:marLeft w:val="0"/>
      <w:marRight w:val="0"/>
      <w:marTop w:val="0"/>
      <w:marBottom w:val="0"/>
      <w:divBdr>
        <w:top w:val="none" w:sz="0" w:space="0" w:color="auto"/>
        <w:left w:val="none" w:sz="0" w:space="0" w:color="auto"/>
        <w:bottom w:val="none" w:sz="0" w:space="0" w:color="auto"/>
        <w:right w:val="none" w:sz="0" w:space="0" w:color="auto"/>
      </w:divBdr>
    </w:div>
    <w:div w:id="1017734784">
      <w:bodyDiv w:val="1"/>
      <w:marLeft w:val="0"/>
      <w:marRight w:val="0"/>
      <w:marTop w:val="0"/>
      <w:marBottom w:val="0"/>
      <w:divBdr>
        <w:top w:val="none" w:sz="0" w:space="0" w:color="auto"/>
        <w:left w:val="none" w:sz="0" w:space="0" w:color="auto"/>
        <w:bottom w:val="none" w:sz="0" w:space="0" w:color="auto"/>
        <w:right w:val="none" w:sz="0" w:space="0" w:color="auto"/>
      </w:divBdr>
    </w:div>
    <w:div w:id="1254120579">
      <w:bodyDiv w:val="1"/>
      <w:marLeft w:val="0"/>
      <w:marRight w:val="0"/>
      <w:marTop w:val="0"/>
      <w:marBottom w:val="0"/>
      <w:divBdr>
        <w:top w:val="none" w:sz="0" w:space="0" w:color="auto"/>
        <w:left w:val="none" w:sz="0" w:space="0" w:color="auto"/>
        <w:bottom w:val="none" w:sz="0" w:space="0" w:color="auto"/>
        <w:right w:val="none" w:sz="0" w:space="0" w:color="auto"/>
      </w:divBdr>
    </w:div>
    <w:div w:id="1326199967">
      <w:bodyDiv w:val="1"/>
      <w:marLeft w:val="0"/>
      <w:marRight w:val="0"/>
      <w:marTop w:val="0"/>
      <w:marBottom w:val="0"/>
      <w:divBdr>
        <w:top w:val="none" w:sz="0" w:space="0" w:color="auto"/>
        <w:left w:val="none" w:sz="0" w:space="0" w:color="auto"/>
        <w:bottom w:val="none" w:sz="0" w:space="0" w:color="auto"/>
        <w:right w:val="none" w:sz="0" w:space="0" w:color="auto"/>
      </w:divBdr>
    </w:div>
    <w:div w:id="1496415768">
      <w:bodyDiv w:val="1"/>
      <w:marLeft w:val="0"/>
      <w:marRight w:val="0"/>
      <w:marTop w:val="0"/>
      <w:marBottom w:val="0"/>
      <w:divBdr>
        <w:top w:val="none" w:sz="0" w:space="0" w:color="auto"/>
        <w:left w:val="none" w:sz="0" w:space="0" w:color="auto"/>
        <w:bottom w:val="none" w:sz="0" w:space="0" w:color="auto"/>
        <w:right w:val="none" w:sz="0" w:space="0" w:color="auto"/>
      </w:divBdr>
    </w:div>
    <w:div w:id="1524050897">
      <w:bodyDiv w:val="1"/>
      <w:marLeft w:val="0"/>
      <w:marRight w:val="0"/>
      <w:marTop w:val="0"/>
      <w:marBottom w:val="0"/>
      <w:divBdr>
        <w:top w:val="none" w:sz="0" w:space="0" w:color="auto"/>
        <w:left w:val="none" w:sz="0" w:space="0" w:color="auto"/>
        <w:bottom w:val="none" w:sz="0" w:space="0" w:color="auto"/>
        <w:right w:val="none" w:sz="0" w:space="0" w:color="auto"/>
      </w:divBdr>
    </w:div>
    <w:div w:id="1572689984">
      <w:bodyDiv w:val="1"/>
      <w:marLeft w:val="0"/>
      <w:marRight w:val="0"/>
      <w:marTop w:val="0"/>
      <w:marBottom w:val="0"/>
      <w:divBdr>
        <w:top w:val="none" w:sz="0" w:space="0" w:color="auto"/>
        <w:left w:val="none" w:sz="0" w:space="0" w:color="auto"/>
        <w:bottom w:val="none" w:sz="0" w:space="0" w:color="auto"/>
        <w:right w:val="none" w:sz="0" w:space="0" w:color="auto"/>
      </w:divBdr>
    </w:div>
    <w:div w:id="1653018542">
      <w:bodyDiv w:val="1"/>
      <w:marLeft w:val="0"/>
      <w:marRight w:val="0"/>
      <w:marTop w:val="0"/>
      <w:marBottom w:val="0"/>
      <w:divBdr>
        <w:top w:val="none" w:sz="0" w:space="0" w:color="auto"/>
        <w:left w:val="none" w:sz="0" w:space="0" w:color="auto"/>
        <w:bottom w:val="none" w:sz="0" w:space="0" w:color="auto"/>
        <w:right w:val="none" w:sz="0" w:space="0" w:color="auto"/>
      </w:divBdr>
    </w:div>
    <w:div w:id="1699696663">
      <w:bodyDiv w:val="1"/>
      <w:marLeft w:val="0"/>
      <w:marRight w:val="0"/>
      <w:marTop w:val="0"/>
      <w:marBottom w:val="0"/>
      <w:divBdr>
        <w:top w:val="none" w:sz="0" w:space="0" w:color="auto"/>
        <w:left w:val="none" w:sz="0" w:space="0" w:color="auto"/>
        <w:bottom w:val="none" w:sz="0" w:space="0" w:color="auto"/>
        <w:right w:val="none" w:sz="0" w:space="0" w:color="auto"/>
      </w:divBdr>
    </w:div>
    <w:div w:id="1858538578">
      <w:bodyDiv w:val="1"/>
      <w:marLeft w:val="0"/>
      <w:marRight w:val="0"/>
      <w:marTop w:val="0"/>
      <w:marBottom w:val="0"/>
      <w:divBdr>
        <w:top w:val="none" w:sz="0" w:space="0" w:color="auto"/>
        <w:left w:val="none" w:sz="0" w:space="0" w:color="auto"/>
        <w:bottom w:val="none" w:sz="0" w:space="0" w:color="auto"/>
        <w:right w:val="none" w:sz="0" w:space="0" w:color="auto"/>
      </w:divBdr>
    </w:div>
    <w:div w:id="208668407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yushuxia@ldeo.columbia.edu)" TargetMode="External"/><Relationship Id="rId12" Type="http://schemas.openxmlformats.org/officeDocument/2006/relationships/hyperlink" Target="https://ameriflux.lbl.gov/" TargetMode="External"/><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yperlink" Target="https://ameriflux.lbl.gov/"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1546</TotalTime>
  <Pages>37</Pages>
  <Words>91186</Words>
  <Characters>519765</Characters>
  <Application>Microsoft Office Word</Application>
  <DocSecurity>0</DocSecurity>
  <Lines>4331</Lines>
  <Paragraphs>1219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609732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Brooks Hanson</dc:creator>
  <cp:keywords/>
  <dc:description/>
  <cp:lastModifiedBy>Yushu Xia</cp:lastModifiedBy>
  <cp:revision>23</cp:revision>
  <dcterms:created xsi:type="dcterms:W3CDTF">2024-03-14T00:31:00Z</dcterms:created>
  <dcterms:modified xsi:type="dcterms:W3CDTF">2024-03-27T22:27:00Z</dcterms:modified>
</cp:coreProperties>
</file>